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/>
        <w:drawing>
          <wp:inline distT="0" distB="0" distL="0" distR="0">
            <wp:extent cx="723900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0"/>
        </w:numPr>
        <w:ind w:left="0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0"/>
          <w:numId w:val="0"/>
        </w:numPr>
        <w:ind w:left="0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062345" cy="0"/>
                <wp:effectExtent l="25400" t="25400" r="25400" b="2540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400" cy="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6.6pt" to="468.3pt,6.6pt" stroked="t" o:allowincell="f" style="position:absolute">
                <v:stroke color="black" weight="507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</w:t>
      </w:r>
      <w:r>
        <w:rPr>
          <w:bCs/>
          <w:sz w:val="24"/>
          <w:szCs w:val="24"/>
          <w:u w:val="single"/>
        </w:rPr>
        <w:t xml:space="preserve">т </w:t>
      </w:r>
      <w:r>
        <w:rPr>
          <w:bCs/>
          <w:sz w:val="24"/>
          <w:szCs w:val="24"/>
          <w:u w:val="single"/>
        </w:rPr>
        <w:t>25.10.2022</w:t>
      </w:r>
      <w:r>
        <w:rPr>
          <w:bCs/>
          <w:sz w:val="24"/>
          <w:szCs w:val="24"/>
          <w:u w:val="single"/>
        </w:rPr>
        <w:t xml:space="preserve"> № </w:t>
      </w:r>
      <w:r>
        <w:rPr>
          <w:bCs/>
          <w:sz w:val="24"/>
          <w:szCs w:val="24"/>
          <w:u w:val="single"/>
        </w:rPr>
        <w:t>1059</w:t>
      </w:r>
    </w:p>
    <w:p>
      <w:pPr>
        <w:pStyle w:val="Normal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отчёта об исполнении бюджета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 Волгоградской области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девять месяцев 2022 года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eastAsia="Calibri" w:ascii="Times New Roman" w:hAnsi="Times New Roman"/>
          <w:sz w:val="24"/>
          <w:szCs w:val="24"/>
        </w:rPr>
        <w:t xml:space="preserve">со </w:t>
      </w:r>
      <w:hyperlink r:id="rId3">
        <w:r>
          <w:rPr>
            <w:rFonts w:eastAsia="Calibri" w:ascii="Times New Roman" w:hAnsi="Times New Roman"/>
            <w:sz w:val="24"/>
            <w:szCs w:val="24"/>
          </w:rPr>
          <w:t>статьей 264.2</w:t>
        </w:r>
      </w:hyperlink>
      <w:r>
        <w:rPr>
          <w:rFonts w:eastAsia="Calibri" w:ascii="Times New Roman" w:hAnsi="Times New Roman"/>
          <w:sz w:val="24"/>
          <w:szCs w:val="24"/>
        </w:rPr>
        <w:t xml:space="preserve"> Бюджетного кодекса Российской Федерации, статьёй 78 Положения о бюджетном процессе в Жирновском муниципальном районе Волгоградской области, утвержденного решением Жирновской районной Думы от 26.07.2019  № 73/434-Д, администрация Жирновского муниципального района                                  п о с т а н о  в л я е т:</w:t>
      </w:r>
    </w:p>
    <w:p>
      <w:pPr>
        <w:pStyle w:val="Normal"/>
        <w:ind w:firstLine="54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1. Утвердить прилагаемый </w:t>
      </w:r>
      <w:hyperlink r:id="rId4">
        <w:r>
          <w:rPr>
            <w:rFonts w:eastAsia="Calibri" w:ascii="Times New Roman" w:hAnsi="Times New Roman"/>
            <w:sz w:val="24"/>
            <w:szCs w:val="24"/>
          </w:rPr>
          <w:t>отчёт</w:t>
        </w:r>
      </w:hyperlink>
      <w:r>
        <w:rPr>
          <w:rFonts w:eastAsia="Calibri" w:ascii="Times New Roman" w:hAnsi="Times New Roman"/>
          <w:sz w:val="24"/>
          <w:szCs w:val="24"/>
        </w:rPr>
        <w:t xml:space="preserve"> об исполнении бюджета Жирновского муниципального района Волгоградской области за девять месяцев 2022 года.</w:t>
      </w:r>
    </w:p>
    <w:p>
      <w:pPr>
        <w:pStyle w:val="Normal"/>
        <w:ind w:firstLine="540"/>
        <w:jc w:val="both"/>
        <w:rPr/>
      </w:pPr>
      <w:r>
        <w:rPr>
          <w:rFonts w:eastAsia="Calibri" w:ascii="Times New Roman" w:hAnsi="Times New Roman"/>
          <w:sz w:val="24"/>
          <w:szCs w:val="24"/>
        </w:rPr>
        <w:t xml:space="preserve">2. Направить </w:t>
      </w:r>
      <w:hyperlink r:id="rId5">
        <w:r>
          <w:rPr>
            <w:rFonts w:eastAsia="Calibri" w:ascii="Times New Roman" w:hAnsi="Times New Roman"/>
            <w:sz w:val="24"/>
            <w:szCs w:val="24"/>
          </w:rPr>
          <w:t>отчёт</w:t>
        </w:r>
      </w:hyperlink>
      <w:r>
        <w:rPr>
          <w:rFonts w:eastAsia="Calibri" w:ascii="Times New Roman" w:hAnsi="Times New Roman"/>
          <w:sz w:val="24"/>
          <w:szCs w:val="24"/>
        </w:rPr>
        <w:t xml:space="preserve"> об исполнении бюджета Жирновского муниципального района Волгоградской области за девять месяцев 2022 года в Жирновскую районную Думу и контрольно-счетную палату Жирновского муниципального района.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3.  </w:t>
      </w:r>
      <w:r>
        <w:rPr>
          <w:rFonts w:eastAsia="Calibri" w:ascii="Times New Roman" w:hAnsi="Times New Roman"/>
          <w:sz w:val="24"/>
          <w:szCs w:val="24"/>
        </w:rPr>
        <w:t>П</w:t>
      </w:r>
      <w:r>
        <w:rPr>
          <w:rFonts w:eastAsia="Calibri" w:ascii="Times New Roman" w:hAnsi="Times New Roman"/>
          <w:sz w:val="24"/>
          <w:szCs w:val="24"/>
        </w:rPr>
        <w:t xml:space="preserve">остановление вступает в силу со дня его подписания, подлежит  опубликованию </w:t>
      </w:r>
      <w:r>
        <w:rPr>
          <w:rFonts w:eastAsia="Calibri" w:ascii="Times New Roman" w:hAnsi="Times New Roman"/>
          <w:sz w:val="24"/>
          <w:szCs w:val="24"/>
        </w:rPr>
        <w:t>в газете «Жирновские новости»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размещению на официальном  сайте Жирновского муниципального района</w:t>
      </w:r>
      <w:r>
        <w:rPr>
          <w:rFonts w:eastAsia="Calibri" w:ascii="Times New Roman" w:hAnsi="Times New Roman"/>
          <w:sz w:val="24"/>
          <w:szCs w:val="24"/>
        </w:rPr>
        <w:t>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постановления возложить на первого заместителя главы администрации Жирновского муниципального района П.Н.Мармуру.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Жирновского муниципального района                                                                   </w:t>
      </w:r>
      <w:r>
        <w:rPr>
          <w:rFonts w:eastAsia="Times New Roman" w:cs="Times New Roman"/>
          <w:color w:val="auto"/>
          <w:sz w:val="24"/>
          <w:szCs w:val="24"/>
          <w:lang w:val="ru-RU" w:eastAsia="zh-CN" w:bidi="ar-SA"/>
        </w:rPr>
        <w:t>А.Е.Линьков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80"/>
        <w:gridCol w:w="3827"/>
      </w:tblGrid>
      <w:tr>
        <w:trPr/>
        <w:tc>
          <w:tcPr>
            <w:tcW w:w="10880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27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701" w:right="850" w:gutter="0" w:header="0" w:top="1134" w:footer="1134" w:bottom="1937"/>
          <w:pgNumType w:start="1" w:fmt="decimal"/>
          <w:formProt w:val="false"/>
          <w:textDirection w:val="lrTb"/>
          <w:docGrid w:type="default" w:linePitch="272" w:charSpace="8192"/>
        </w:sectPr>
      </w:pPr>
    </w:p>
    <w:tbl>
      <w:tblPr>
        <w:tblStyle w:val="a5"/>
        <w:tblW w:w="15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860"/>
        <w:gridCol w:w="4379"/>
      </w:tblGrid>
      <w:tr>
        <w:trPr/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eastAsia="Calibri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УТВЕРЖДЕН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eastAsia="Calibri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постановлением администрации Жирновского муниципального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eastAsia="Calibri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района </w:t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bidi="ar-SA"/>
              </w:rPr>
            </w:r>
          </w:p>
          <w:p>
            <w:pPr>
              <w:pStyle w:val="ConsPlusNormal"/>
              <w:widowControl/>
              <w:numPr>
                <w:ilvl w:val="0"/>
                <w:numId w:val="0"/>
              </w:numPr>
              <w:spacing w:before="0" w:after="0"/>
              <w:ind w:hanging="0"/>
              <w:jc w:val="left"/>
              <w:outlineLvl w:val="0"/>
              <w:rPr>
                <w:rFonts w:eastAsia="Calibri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т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25.10.2022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1059</w:t>
            </w:r>
          </w:p>
        </w:tc>
      </w:tr>
    </w:tbl>
    <w:p>
      <w:pPr>
        <w:pStyle w:val="ConsPlusNormal"/>
        <w:numPr>
          <w:ilvl w:val="0"/>
          <w:numId w:val="0"/>
        </w:numPr>
        <w:ind w:firstLine="540"/>
        <w:jc w:val="center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Отчёт об исполнении бюджета Жирновского муниципального района Волгоградской области</w:t>
      </w:r>
    </w:p>
    <w:p>
      <w:pPr>
        <w:pStyle w:val="ConsPlusNormal"/>
        <w:numPr>
          <w:ilvl w:val="0"/>
          <w:numId w:val="0"/>
        </w:numPr>
        <w:ind w:firstLine="540"/>
        <w:jc w:val="center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 девять месяцев 2022 года</w:t>
      </w:r>
    </w:p>
    <w:p>
      <w:pPr>
        <w:pStyle w:val="ConsPlusNormal"/>
        <w:numPr>
          <w:ilvl w:val="0"/>
          <w:numId w:val="0"/>
        </w:numPr>
        <w:ind w:firstLine="54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5"/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1"/>
        <w:gridCol w:w="11"/>
        <w:gridCol w:w="6958"/>
        <w:gridCol w:w="1844"/>
        <w:gridCol w:w="1842"/>
        <w:gridCol w:w="1701"/>
      </w:tblGrid>
      <w:tr>
        <w:trPr>
          <w:trHeight w:val="315" w:hRule="atLeast"/>
        </w:trPr>
        <w:tc>
          <w:tcPr>
            <w:tcW w:w="3072" w:type="dxa"/>
            <w:gridSpan w:val="2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695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Наименование кода бюджетной классификации</w:t>
            </w:r>
          </w:p>
        </w:tc>
        <w:tc>
          <w:tcPr>
            <w:tcW w:w="18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Утверждено по бюджету на 2022 год             (руб.)</w:t>
            </w:r>
          </w:p>
        </w:tc>
        <w:tc>
          <w:tcPr>
            <w:tcW w:w="184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Фактическое исполнение за девять месяцев 2022 года (руб.)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Процент исполнения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 плану 2022 года</w:t>
            </w:r>
          </w:p>
        </w:tc>
      </w:tr>
      <w:tr>
        <w:trPr>
          <w:trHeight w:val="31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бюджета - Всего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753 425 108,25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532 503 438,94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70,7%</w:t>
            </w:r>
          </w:p>
        </w:tc>
      </w:tr>
      <w:tr>
        <w:trPr>
          <w:trHeight w:val="32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000 1 00 00000 00 0000 000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168 855 257,72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92 160 433,61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54,6%</w:t>
            </w:r>
          </w:p>
        </w:tc>
      </w:tr>
      <w:tr>
        <w:trPr>
          <w:trHeight w:val="29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56 423 600,00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43 443 788,87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77,0%</w:t>
            </w:r>
          </w:p>
        </w:tc>
      </w:tr>
      <w:tr>
        <w:trPr>
          <w:trHeight w:val="31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000 1 01 02000 01 0000 110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56 423 600,00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43 443 788,87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77,0%</w:t>
            </w:r>
          </w:p>
        </w:tc>
      </w:tr>
      <w:tr>
        <w:trPr>
          <w:trHeight w:val="128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000 1 01 02010 01 0000 110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53 590 600,00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39 930 701,58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74,5%</w:t>
            </w:r>
          </w:p>
        </w:tc>
      </w:tr>
      <w:tr>
        <w:trPr>
          <w:trHeight w:val="182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000 1 01 02020 01 0000 110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115 300,00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153 820,46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133,4%</w:t>
            </w:r>
          </w:p>
        </w:tc>
      </w:tr>
      <w:tr>
        <w:trPr>
          <w:trHeight w:val="84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000 1 01 02030 01 0000 110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537 900,00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605 922,63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112,6%</w:t>
            </w:r>
          </w:p>
        </w:tc>
      </w:tr>
      <w:tr>
        <w:trPr>
          <w:trHeight w:val="168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000 1 01 02040 01 0000 110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393 400,00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785 963,20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199,8%</w:t>
            </w:r>
          </w:p>
        </w:tc>
      </w:tr>
      <w:tr>
        <w:trPr>
          <w:trHeight w:val="155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000 1 01 02080 01 0000 110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1 786 400,00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1 967 381,00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110,1%</w:t>
            </w:r>
          </w:p>
        </w:tc>
      </w:tr>
      <w:tr>
        <w:trPr>
          <w:trHeight w:val="5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2 186 500,00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1 702 141,75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77,8%</w:t>
            </w:r>
          </w:p>
        </w:tc>
      </w:tr>
      <w:tr>
        <w:trPr>
          <w:trHeight w:val="47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000 1 03 02000 01 0000 110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2 186 500,00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1 702 141,75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77,8%</w:t>
            </w:r>
          </w:p>
        </w:tc>
      </w:tr>
      <w:tr>
        <w:trPr>
          <w:trHeight w:val="132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000 1 03 02230 01 0000 110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1 016 200,00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832 263,73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81,9%</w:t>
            </w:r>
          </w:p>
        </w:tc>
      </w:tr>
      <w:tr>
        <w:trPr>
          <w:trHeight w:val="183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000 1 03 02231 01 0000 110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1 016 200,00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832 263,73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81,9%</w:t>
            </w:r>
          </w:p>
        </w:tc>
      </w:tr>
      <w:tr>
        <w:trPr>
          <w:trHeight w:val="147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000 1 03 02240 01 0000 110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4 708,22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96,1%</w:t>
            </w:r>
          </w:p>
        </w:tc>
      </w:tr>
      <w:tr>
        <w:trPr>
          <w:trHeight w:val="207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000 1 03 02241 01 0000 110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4 708,22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96,1%</w:t>
            </w:r>
          </w:p>
        </w:tc>
      </w:tr>
      <w:tr>
        <w:trPr>
          <w:trHeight w:val="124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000 1 03 02250 01 0000 110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1 289 400,00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958 075,79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74,3%</w:t>
            </w:r>
          </w:p>
        </w:tc>
      </w:tr>
      <w:tr>
        <w:trPr>
          <w:trHeight w:val="184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000 1 03 02251 01 0000 110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1 289 400,00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958 075,79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74,3%</w:t>
            </w:r>
          </w:p>
        </w:tc>
      </w:tr>
      <w:tr>
        <w:trPr>
          <w:trHeight w:val="143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000 1 03 02260 01 0000 110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-124 000,00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-92 905,99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74,9%</w:t>
            </w:r>
          </w:p>
        </w:tc>
      </w:tr>
      <w:tr>
        <w:trPr>
          <w:trHeight w:val="193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000 1 03 02261 01 0000 110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-124 000,00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-92 905,99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74,9%</w:t>
            </w:r>
          </w:p>
        </w:tc>
      </w:tr>
      <w:tr>
        <w:trPr>
          <w:trHeight w:val="31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10 888 200,00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9 992 618,72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91,8%</w:t>
            </w:r>
          </w:p>
        </w:tc>
      </w:tr>
      <w:tr>
        <w:trPr>
          <w:trHeight w:val="56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000 1 05 01000 00 0000 110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2 970 000,00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2 392 025,63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80,5%</w:t>
            </w:r>
          </w:p>
        </w:tc>
      </w:tr>
      <w:tr>
        <w:trPr>
          <w:trHeight w:val="55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000 1 05 01010 01 0000 110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2 222 700,00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1 739 625,41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78,3%</w:t>
            </w:r>
          </w:p>
        </w:tc>
      </w:tr>
      <w:tr>
        <w:trPr>
          <w:trHeight w:val="55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000 1 05 01011 01 0000 110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2 222 700,00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1 739 625,41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78,3%</w:t>
            </w:r>
          </w:p>
        </w:tc>
      </w:tr>
      <w:tr>
        <w:trPr>
          <w:trHeight w:val="84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000 1 05 01020 01 0000 110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747 300,00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652 398,47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87,3%</w:t>
            </w:r>
          </w:p>
        </w:tc>
      </w:tr>
      <w:tr>
        <w:trPr>
          <w:trHeight w:val="112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000 1 05 01021 01 0000 110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747 300,00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652 398,47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87,3%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000 1 05 01050 01 0000 110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1,75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000 1 05 02000 02 0000 110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-9 573,76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000 1 05 02010 02 0000 110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-9 573,76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7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000 1 05 03000 01 0000 110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6 192 300,00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6 474 748,50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104,6%</w:t>
            </w:r>
          </w:p>
        </w:tc>
      </w:tr>
      <w:tr>
        <w:trPr>
          <w:trHeight w:val="32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000 1 05 03010 01 0000 110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6 192 300,00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6 474 748,50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104,6%</w:t>
            </w:r>
          </w:p>
        </w:tc>
      </w:tr>
      <w:tr>
        <w:trPr>
          <w:trHeight w:val="52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000 1 05 04000 02 0000 110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1 725 900,00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1 135 418,35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65,8%</w:t>
            </w:r>
          </w:p>
        </w:tc>
      </w:tr>
      <w:tr>
        <w:trPr>
          <w:trHeight w:val="79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000 1 05 04020 02 0000 110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1 725 900,00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1 135 418,35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65,8%</w:t>
            </w:r>
          </w:p>
        </w:tc>
      </w:tr>
      <w:tr>
        <w:trPr>
          <w:trHeight w:val="37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000 1 08 00000 00 0000 000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4 300 000,00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3 209 308,15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74,6%</w:t>
            </w:r>
          </w:p>
        </w:tc>
      </w:tr>
      <w:tr>
        <w:trPr>
          <w:trHeight w:val="55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000 1 08 03000 01 0000 110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4 300 000,00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3 209 308,15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74,6%</w:t>
            </w:r>
          </w:p>
        </w:tc>
      </w:tr>
      <w:tr>
        <w:trPr>
          <w:trHeight w:val="69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000 1 08 03010 01 0000 110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4 300 000,00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3 209 308,15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74,6%</w:t>
            </w:r>
          </w:p>
        </w:tc>
      </w:tr>
      <w:tr>
        <w:trPr>
          <w:trHeight w:val="6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28 540 400,00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15 529 057,43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54,4%</w:t>
            </w:r>
          </w:p>
        </w:tc>
      </w:tr>
      <w:tr>
        <w:trPr>
          <w:trHeight w:val="15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000 1 11 05000 00 0000 120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28 526 300,00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15 527 512,45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54,4%</w:t>
            </w:r>
          </w:p>
        </w:tc>
      </w:tr>
      <w:tr>
        <w:trPr>
          <w:trHeight w:val="110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000 1 11 05010 00 0000 120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10 486 600,00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7 088 935,94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67,6%</w:t>
            </w:r>
          </w:p>
        </w:tc>
      </w:tr>
      <w:tr>
        <w:trPr>
          <w:trHeight w:val="17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000 1 11 05013 05 0000 120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7 859 000,00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5 012 621,07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63,8%</w:t>
            </w:r>
          </w:p>
        </w:tc>
      </w:tr>
      <w:tr>
        <w:trPr>
          <w:trHeight w:val="127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000 1 11 05013 13 0000 120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2 627 800,00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2 076 314,87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79,0%</w:t>
            </w:r>
          </w:p>
        </w:tc>
      </w:tr>
      <w:tr>
        <w:trPr>
          <w:trHeight w:val="144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000 1 11 05020 00 0000 120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9 214 200,00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4 557 655,24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49,5 %</w:t>
            </w:r>
          </w:p>
        </w:tc>
      </w:tr>
      <w:tr>
        <w:trPr>
          <w:trHeight w:val="140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000 1 11 05025 05 0000 120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9 214 200,00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4 557 655,24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49,5 %</w:t>
            </w:r>
          </w:p>
        </w:tc>
      </w:tr>
      <w:tr>
        <w:trPr>
          <w:trHeight w:val="83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000 1 11 05070 00 0000 120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8 825 500,00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3 880 921,27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44,0%</w:t>
            </w:r>
          </w:p>
        </w:tc>
      </w:tr>
      <w:tr>
        <w:trPr>
          <w:trHeight w:val="55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000 1 11 05075 05 0000 120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8 825 500,00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3 880 921,27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44,0%</w:t>
            </w:r>
          </w:p>
        </w:tc>
      </w:tr>
      <w:tr>
        <w:trPr>
          <w:trHeight w:val="84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000 1 11 05300 00 0000 120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1 377,34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98,4%</w:t>
            </w:r>
          </w:p>
        </w:tc>
      </w:tr>
      <w:tr>
        <w:trPr>
          <w:trHeight w:val="85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000 1 11 05310 00 0000 120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1 365,51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97,5%</w:t>
            </w:r>
          </w:p>
        </w:tc>
      </w:tr>
      <w:tr>
        <w:trPr>
          <w:trHeight w:val="21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000 1 11 05313 05 0000 120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1 351,52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96,5%</w:t>
            </w:r>
          </w:p>
        </w:tc>
      </w:tr>
      <w:tr>
        <w:trPr>
          <w:trHeight w:val="6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000 1 11 05313 13 0000 120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13,99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6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000 1 11 05320 00 0000 120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11,83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59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000 1 11 05325 05 0000 120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11,83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34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000 1 11 09000 00 0000 120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167,64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1,3%</w:t>
            </w:r>
          </w:p>
        </w:tc>
      </w:tr>
      <w:tr>
        <w:trPr>
          <w:trHeight w:val="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000 1 11 09040 00 0000 120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167,64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14,0%</w:t>
            </w:r>
          </w:p>
        </w:tc>
      </w:tr>
      <w:tr>
        <w:trPr>
          <w:trHeight w:val="124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000 1 11 09045 05 0000 120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167,64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14,0%</w:t>
            </w:r>
          </w:p>
        </w:tc>
      </w:tr>
      <w:tr>
        <w:trPr>
          <w:trHeight w:val="186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000 1 11 09080 00 0000 120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6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000 1 11 09080 05 0000 120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1 647 000,00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2 500 802,54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151,8%</w:t>
            </w:r>
          </w:p>
        </w:tc>
      </w:tr>
      <w:tr>
        <w:trPr>
          <w:trHeight w:val="32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000 1 12 01000 01 0000 120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1 647 000,00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2 500 802,54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151,8%</w:t>
            </w:r>
          </w:p>
        </w:tc>
      </w:tr>
      <w:tr>
        <w:trPr>
          <w:trHeight w:val="5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000 1 12 01010 01 0000 120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139 100,00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984 713,87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707,9%</w:t>
            </w:r>
          </w:p>
        </w:tc>
      </w:tr>
      <w:tr>
        <w:trPr>
          <w:trHeight w:val="26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000 1 12 01030 01 0000 120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10 974,31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99,8%</w:t>
            </w:r>
          </w:p>
        </w:tc>
      </w:tr>
      <w:tr>
        <w:trPr>
          <w:trHeight w:val="32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000 1 12 01040 01 0000 120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32 783,47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128,1%</w:t>
            </w:r>
          </w:p>
        </w:tc>
      </w:tr>
      <w:tr>
        <w:trPr>
          <w:trHeight w:val="35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000 1 12 01041 01 0000 120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размещение отходов производства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30 097,51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133,2%</w:t>
            </w:r>
          </w:p>
        </w:tc>
      </w:tr>
      <w:tr>
        <w:trPr>
          <w:trHeight w:val="27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000 1 12 01042 01 0000 120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размещение твердых коммунальных отходов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2 685,96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89,5%</w:t>
            </w:r>
          </w:p>
        </w:tc>
      </w:tr>
      <w:tr>
        <w:trPr>
          <w:trHeight w:val="83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000 1 12 01070 01 0000 120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выбросы загрязняющих веществ, образующихся при сжигании на факельных  установках и (или) рассеивании попутного нефтяного газа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1 471 300,00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1 472 330,89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100,1%</w:t>
            </w:r>
          </w:p>
        </w:tc>
      </w:tr>
      <w:tr>
        <w:trPr>
          <w:trHeight w:val="5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31 738 857,72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13 578 840,83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42,8%</w:t>
            </w:r>
          </w:p>
        </w:tc>
      </w:tr>
      <w:tr>
        <w:trPr>
          <w:trHeight w:val="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000 1 13 01000 00 0000 130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Доходы от оказания платных услуг (работ)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4 199 000,00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2 174 788,85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51,8%</w:t>
            </w:r>
          </w:p>
        </w:tc>
      </w:tr>
      <w:tr>
        <w:trPr>
          <w:trHeight w:val="27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000 1 13 01990 00 0000 130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4 199 000,00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2 174 788,85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51,8%</w:t>
            </w:r>
          </w:p>
        </w:tc>
      </w:tr>
      <w:tr>
        <w:trPr>
          <w:trHeight w:val="13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000 1 13 01995 05 0000 130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4 199 000,00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2 174 788,85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51,8%</w:t>
            </w:r>
          </w:p>
        </w:tc>
      </w:tr>
      <w:tr>
        <w:trPr>
          <w:trHeight w:val="26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000 1 13 02000 00 0000 130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27 539 857,72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11 404 051,98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41,4%</w:t>
            </w:r>
          </w:p>
        </w:tc>
      </w:tr>
      <w:tr>
        <w:trPr>
          <w:trHeight w:val="25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000 1 13 02990 00 0000 130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Прочие доходы от компенсации затрат государства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27 539 857,72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11 404 051,98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41,4%</w:t>
            </w:r>
          </w:p>
        </w:tc>
      </w:tr>
      <w:tr>
        <w:trPr>
          <w:trHeight w:val="54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000 1 13 02995 05 0000 130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27 539 857,72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11 404 051,98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41,4%</w:t>
            </w:r>
          </w:p>
        </w:tc>
      </w:tr>
      <w:tr>
        <w:trPr>
          <w:trHeight w:val="54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31 485 800,00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1 467 012,26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4,7%</w:t>
            </w:r>
          </w:p>
        </w:tc>
      </w:tr>
      <w:tr>
        <w:trPr>
          <w:trHeight w:val="55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30 656 800,00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245 968,32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0,8 %</w:t>
            </w:r>
          </w:p>
        </w:tc>
      </w:tr>
      <w:tr>
        <w:trPr>
          <w:trHeight w:val="158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000 1 14 02050 05 0000 410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30 656 800,00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245 968,32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0,8%</w:t>
            </w:r>
          </w:p>
        </w:tc>
      </w:tr>
      <w:tr>
        <w:trPr>
          <w:trHeight w:val="159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000 1 14 02052 05 0000 410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6 700,34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176,3%</w:t>
            </w:r>
          </w:p>
        </w:tc>
      </w:tr>
      <w:tr>
        <w:trPr>
          <w:trHeight w:val="163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000 1 14 02053 05 0000 410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30 653 000,00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239 267,98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0,8%</w:t>
            </w:r>
          </w:p>
        </w:tc>
      </w:tr>
      <w:tr>
        <w:trPr>
          <w:trHeight w:val="54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000 1 14 06000 00 0000 430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811 300,00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1 203 327,26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148,3%</w:t>
            </w:r>
          </w:p>
        </w:tc>
      </w:tr>
      <w:tr>
        <w:trPr>
          <w:trHeight w:val="53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000 1 14 06010 00 0000 430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 собственность  на  которые  не  разграничена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811 300,00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1 203 327,26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148,3%</w:t>
            </w:r>
          </w:p>
        </w:tc>
      </w:tr>
      <w:tr>
        <w:trPr>
          <w:trHeight w:val="110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000 1 14 06013 05 0000 430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518 600,00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885 316,24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170,7%</w:t>
            </w:r>
          </w:p>
        </w:tc>
      </w:tr>
      <w:tr>
        <w:trPr>
          <w:trHeight w:val="7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000 1 14 06013 13 0000 430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292 700,00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318 011,02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108,6%</w:t>
            </w:r>
          </w:p>
        </w:tc>
      </w:tr>
      <w:tr>
        <w:trPr>
          <w:trHeight w:val="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000 1 14 06300 00 0000 430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17 716,68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100,1%</w:t>
            </w:r>
          </w:p>
        </w:tc>
      </w:tr>
      <w:tr>
        <w:trPr>
          <w:trHeight w:val="103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000 1 14 06310 00 0000 430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17 716,68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100,1%</w:t>
            </w:r>
          </w:p>
        </w:tc>
      </w:tr>
      <w:tr>
        <w:trPr>
          <w:trHeight w:val="164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000 1 14 06313 05 0000 430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17 137,69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100,2%</w:t>
            </w:r>
          </w:p>
        </w:tc>
      </w:tr>
      <w:tr>
        <w:trPr>
          <w:trHeight w:val="132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000 1 14 06313 13 0000 430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578,99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96,5%</w:t>
            </w:r>
          </w:p>
        </w:tc>
      </w:tr>
      <w:tr>
        <w:trPr>
          <w:trHeight w:val="23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1 644 900,00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740 863,06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45,0%</w:t>
            </w:r>
          </w:p>
        </w:tc>
      </w:tr>
      <w:tr>
        <w:trPr>
          <w:trHeight w:val="48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000 1 16 01000 01 0000 140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1 254 000,00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692 228,04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55,2%</w:t>
            </w:r>
          </w:p>
        </w:tc>
      </w:tr>
      <w:tr>
        <w:trPr>
          <w:trHeight w:val="95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000 1 16 01050 01 0000 140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7 755,02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24,2%</w:t>
            </w:r>
          </w:p>
        </w:tc>
      </w:tr>
      <w:tr>
        <w:trPr>
          <w:trHeight w:val="129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000 1 16 01053 01 0000 140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7 755,02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24,2%</w:t>
            </w:r>
          </w:p>
        </w:tc>
      </w:tr>
      <w:tr>
        <w:trPr>
          <w:trHeight w:val="126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000 1 16 01060 01 0000 140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52 500,00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84,7%</w:t>
            </w:r>
          </w:p>
        </w:tc>
      </w:tr>
      <w:tr>
        <w:trPr>
          <w:trHeight w:val="162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000 1 16 01063 01 0000 140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52 500,00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84,7%</w:t>
            </w:r>
          </w:p>
        </w:tc>
      </w:tr>
      <w:tr>
        <w:trPr>
          <w:trHeight w:val="112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000 1 16 01070 01 0000 140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71 000,00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93 945,18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132,3%</w:t>
            </w:r>
          </w:p>
        </w:tc>
      </w:tr>
      <w:tr>
        <w:trPr>
          <w:trHeight w:val="135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000 1 16 01073 01 0000 140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71 000,00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93 945,18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132,3%</w:t>
            </w:r>
          </w:p>
        </w:tc>
      </w:tr>
      <w:tr>
        <w:trPr>
          <w:trHeight w:val="102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000 1 16 01080 01 0000 140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489,01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0,7%</w:t>
            </w:r>
          </w:p>
        </w:tc>
      </w:tr>
      <w:tr>
        <w:trPr>
          <w:trHeight w:val="15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000 1 16 01083 01 0000 140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489,01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0,7%</w:t>
            </w:r>
          </w:p>
        </w:tc>
      </w:tr>
      <w:tr>
        <w:trPr>
          <w:trHeight w:val="87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000 1 16 01090 01 0000 140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133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000 1 16 01093 01 0000 140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77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000 1 16 01130 01 0000 140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в области связи и информации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33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000 1 16 01133 01 0000 140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13 Кодекса Российской Федерации об административных правонарушениях,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135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000 1 16 01140 01 0000 140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142 000,00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56,8%</w:t>
            </w:r>
          </w:p>
        </w:tc>
      </w:tr>
      <w:tr>
        <w:trPr>
          <w:trHeight w:val="16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000 1 16 01143 01 0000 140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142 000,00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56,8%</w:t>
            </w:r>
          </w:p>
        </w:tc>
      </w:tr>
      <w:tr>
        <w:trPr>
          <w:trHeight w:val="98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97 200,00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65 085,86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67,0%</w:t>
            </w:r>
          </w:p>
        </w:tc>
      </w:tr>
      <w:tr>
        <w:trPr>
          <w:trHeight w:val="210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7 833,36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19,6%</w:t>
            </w:r>
          </w:p>
        </w:tc>
      </w:tr>
      <w:tr>
        <w:trPr>
          <w:trHeight w:val="187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000 1 16 01154 01 0000 140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381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000 1 16 01157 01 0000 140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22 252,50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100,2%</w:t>
            </w:r>
          </w:p>
        </w:tc>
      </w:tr>
      <w:tr>
        <w:trPr>
          <w:trHeight w:val="112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000 1 16 01170 01 0000 140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1 530,22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30,6%</w:t>
            </w:r>
          </w:p>
        </w:tc>
      </w:tr>
      <w:tr>
        <w:trPr>
          <w:trHeight w:val="15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000 1 16 01173 01 0000 140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1 530,22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30,6%</w:t>
            </w:r>
          </w:p>
        </w:tc>
      </w:tr>
      <w:tr>
        <w:trPr>
          <w:trHeight w:val="111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000 1 16 01190 01 0000 140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293 800,00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4,1%</w:t>
            </w:r>
          </w:p>
        </w:tc>
      </w:tr>
      <w:tr>
        <w:trPr>
          <w:trHeight w:val="140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000 1 16 01193 01 0000 140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293 800,00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4,1%</w:t>
            </w:r>
          </w:p>
        </w:tc>
      </w:tr>
      <w:tr>
        <w:trPr>
          <w:trHeight w:val="112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000 1 16 01200 01 0000 140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299 922,75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98,0%</w:t>
            </w:r>
          </w:p>
        </w:tc>
      </w:tr>
      <w:tr>
        <w:trPr>
          <w:trHeight w:val="163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000 1 16 01203 01 0000 140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299 922,75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98,0%</w:t>
            </w:r>
          </w:p>
        </w:tc>
      </w:tr>
      <w:tr>
        <w:trPr>
          <w:trHeight w:val="60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000 1 16 02000 02 0000 140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6 500,00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32,5%</w:t>
            </w:r>
          </w:p>
        </w:tc>
      </w:tr>
      <w:tr>
        <w:trPr>
          <w:trHeight w:val="69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000 1 16 02020 02 0000 140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6 500,00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32,5%</w:t>
            </w:r>
          </w:p>
        </w:tc>
      </w:tr>
      <w:tr>
        <w:trPr>
          <w:trHeight w:val="211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000 1 16 07000 00 0000 140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21 726,49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100,1%</w:t>
            </w:r>
          </w:p>
        </w:tc>
      </w:tr>
      <w:tr>
        <w:trPr>
          <w:trHeight w:val="102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000 1 16 07010 00 0000 140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21 726,49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100,1%</w:t>
            </w:r>
          </w:p>
        </w:tc>
      </w:tr>
      <w:tr>
        <w:trPr>
          <w:trHeight w:val="134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000 1 16 07010 05 0000 140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21 726,49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100,1%</w:t>
            </w:r>
          </w:p>
        </w:tc>
      </w:tr>
      <w:tr>
        <w:trPr>
          <w:trHeight w:val="22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000 1 16 10000 00 0000 140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 в целях возмещения причиненного ущерба (убытков)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7 600,00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168,9%</w:t>
            </w:r>
          </w:p>
        </w:tc>
      </w:tr>
      <w:tr>
        <w:trPr>
          <w:trHeight w:val="136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000 1 16 10120 00 0000 140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7 600,00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168,9%</w:t>
            </w:r>
          </w:p>
        </w:tc>
      </w:tr>
      <w:tr>
        <w:trPr>
          <w:trHeight w:val="110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000 1 16 10123 01 0000 140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7 600,00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168,9%</w:t>
            </w:r>
          </w:p>
        </w:tc>
      </w:tr>
      <w:tr>
        <w:trPr>
          <w:trHeight w:val="14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000 1 16 11000 01 0000 140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Платежи, уплачиваемые в целях возмещения вреда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344 700,00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12 808,53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3,7%</w:t>
            </w:r>
          </w:p>
        </w:tc>
      </w:tr>
      <w:tr>
        <w:trPr>
          <w:trHeight w:val="197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000 1 16 11050 01 0000 140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344 700,00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000 1 16 11060 01 0000 140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12 808,53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98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000 1 16 11064 01 0000 140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12 808,53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0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000 1 17 00000 00 0000 000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6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000 1 17 01000 00 0000 180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Невыясненные поступления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5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000 1 17 01050 05 0000 180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7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000 2 00 00000 00 0000 000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584 569 850,53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440 343 005,33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75,3%</w:t>
            </w:r>
          </w:p>
        </w:tc>
      </w:tr>
      <w:tr>
        <w:trPr>
          <w:trHeight w:val="70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583 860 875,53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439 405 075,68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75,3%</w:t>
            </w:r>
          </w:p>
        </w:tc>
      </w:tr>
      <w:tr>
        <w:trPr>
          <w:trHeight w:val="29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000 2 02 10000 00 0000 150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141 552 000,00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107 538 000,00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76,0%</w:t>
            </w:r>
          </w:p>
        </w:tc>
      </w:tr>
      <w:tr>
        <w:trPr>
          <w:trHeight w:val="28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000 2 02 15001 00 0000 150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136 056 000,00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102 042 000,00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75,0%</w:t>
            </w:r>
          </w:p>
        </w:tc>
      </w:tr>
      <w:tr>
        <w:trPr>
          <w:trHeight w:val="61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000 2 02 15001 05 0000 150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136 056 000,00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102 042 000,00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75,0%</w:t>
            </w:r>
          </w:p>
        </w:tc>
      </w:tr>
      <w:tr>
        <w:trPr>
          <w:trHeight w:val="56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000 2 02 15002 00 0000 150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5 496 000,00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5 496 000,00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6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000 2 02 15002 05 0000 150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5 496 000,00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5 496 000,00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7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000 2 02 20000 00 0000 150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97 910 945,54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68 901 126,15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70,4%</w:t>
            </w:r>
          </w:p>
        </w:tc>
      </w:tr>
      <w:tr>
        <w:trPr>
          <w:trHeight w:val="98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000 2 02 20041 00 0000 150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18 311 000,00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9 779 821,19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53,4%</w:t>
            </w:r>
          </w:p>
        </w:tc>
      </w:tr>
      <w:tr>
        <w:trPr>
          <w:trHeight w:val="112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000 2 02 20041 05 0000 150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18 311 000,00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9 779 821,19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53,4%</w:t>
            </w:r>
          </w:p>
        </w:tc>
      </w:tr>
      <w:tr>
        <w:trPr>
          <w:trHeight w:val="100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000 2 02 25304 00 0000 150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15 884 561,74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7 966 129,07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50,2%</w:t>
            </w:r>
          </w:p>
        </w:tc>
      </w:tr>
      <w:tr>
        <w:trPr>
          <w:trHeight w:val="100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000 2 02 25304 05 0000 150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15 884 561,74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7 966 129,07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50,2%</w:t>
            </w:r>
          </w:p>
        </w:tc>
      </w:tr>
      <w:tr>
        <w:trPr>
          <w:trHeight w:val="76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000 2 02 25467 00 0000 150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2 066 800,00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2 066 800,00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106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000 2 02 25467 05 0000 150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2 066 800,00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2 066 800,00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2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000 2 02 25497 00 0000 150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4 808 726,00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4 695 134,05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97,6%</w:t>
            </w:r>
          </w:p>
        </w:tc>
      </w:tr>
      <w:tr>
        <w:trPr>
          <w:trHeight w:val="53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000 2 02 25497 05 0000 150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4 808 726,00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4 695 134,05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97,6%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000 2 02 25511 00 0000 150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1 394 912,34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36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000 2 02 25511 05 0000 150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1 394 912,34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6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000 2 02 25519 00 0000 150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на поддержку отрасли культуры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3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000 2 02 25519 05 0000 150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11 294 545,46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25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000 2 02 29999 00 0000 150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субсидии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44 150 400,00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33 098 696,38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75,0%</w:t>
            </w:r>
          </w:p>
        </w:tc>
      </w:tr>
      <w:tr>
        <w:trPr>
          <w:trHeight w:val="26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000 2 02 29999 05 0000 150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44 150 400,00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33 098 696,38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75,0%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000 2 02 30000 00 0000 150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311 855 739,99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238 051 199,89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76,3%</w:t>
            </w:r>
          </w:p>
        </w:tc>
      </w:tr>
      <w:tr>
        <w:trPr>
          <w:trHeight w:val="83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000 2 02 30022 00 0000 150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30 043 500,00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19 520 895,00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65,0%</w:t>
            </w:r>
          </w:p>
        </w:tc>
      </w:tr>
      <w:tr>
        <w:trPr>
          <w:trHeight w:val="70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000 2 02 30022 05 0000 150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30 043 500,00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19 520 895,00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65,0%</w:t>
            </w:r>
          </w:p>
        </w:tc>
      </w:tr>
      <w:tr>
        <w:trPr>
          <w:trHeight w:val="43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000 2 02 30024 00 0000 150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262 178 639,99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201 320 163,22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76,8%</w:t>
            </w:r>
          </w:p>
        </w:tc>
      </w:tr>
      <w:tr>
        <w:trPr>
          <w:trHeight w:val="43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000 2 02 30024 05 0000 150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262 178 639,99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201 320 163,22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76,8%</w:t>
            </w:r>
          </w:p>
        </w:tc>
      </w:tr>
      <w:tr>
        <w:trPr>
          <w:trHeight w:val="83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000 2 02 30027 00 0000 150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16 500 000,00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14 900 000,00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90,3%</w:t>
            </w:r>
          </w:p>
        </w:tc>
      </w:tr>
      <w:tr>
        <w:trPr>
          <w:trHeight w:val="84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000 2 02 30027 05 0000 150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16 500 000,00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14 900 000,00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90,3%</w:t>
            </w:r>
          </w:p>
        </w:tc>
      </w:tr>
      <w:tr>
        <w:trPr>
          <w:trHeight w:val="141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000 2 02 30029 00 0000 150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1 029 200,00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70,0%</w:t>
            </w:r>
          </w:p>
        </w:tc>
      </w:tr>
      <w:tr>
        <w:trPr>
          <w:trHeight w:val="124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000 2 02 30029 05 0000 150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1 029 200,00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70,0%</w:t>
            </w:r>
          </w:p>
        </w:tc>
      </w:tr>
      <w:tr>
        <w:trPr>
          <w:trHeight w:val="1141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000 2 02 35120 00 0000 150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257 300,00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257 294,00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112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000 2 02 35120 05 0000 150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257 300,00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257 294,00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5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000 2 02 35930 00 0000 150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1 847 100,00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1 332 847,67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72,2%</w:t>
            </w:r>
          </w:p>
        </w:tc>
      </w:tr>
      <w:tr>
        <w:trPr>
          <w:trHeight w:val="4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000 2 02 35930 05 0000 150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1 847 100,00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1 332 847,67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72,2%</w:t>
            </w:r>
          </w:p>
        </w:tc>
      </w:tr>
      <w:tr>
        <w:trPr>
          <w:trHeight w:val="28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000 2 02 40000 00 0000 150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32 542 190,00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24 914 749,64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76,6%</w:t>
            </w:r>
          </w:p>
        </w:tc>
      </w:tr>
      <w:tr>
        <w:trPr>
          <w:trHeight w:val="1035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000 2 02 40014 00 0000 150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14 267 770,00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10 672 008,92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74,8%</w:t>
            </w:r>
          </w:p>
        </w:tc>
      </w:tr>
      <w:tr>
        <w:trPr>
          <w:trHeight w:val="142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000 2 02 40014 05 0000 150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14 267 770,00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10 672 008,92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74,8%</w:t>
            </w:r>
          </w:p>
        </w:tc>
      </w:tr>
      <w:tr>
        <w:trPr>
          <w:trHeight w:val="111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000 2 02 45303 00 0000 150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17 655 120,00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13 623 440,72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77,2%</w:t>
            </w:r>
          </w:p>
        </w:tc>
      </w:tr>
      <w:tr>
        <w:trPr>
          <w:trHeight w:val="1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000 2 02 45303 05 0000 150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17 655 120,00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13 623 440,72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77,2%</w:t>
            </w:r>
          </w:p>
        </w:tc>
      </w:tr>
      <w:tr>
        <w:trPr>
          <w:trHeight w:val="31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000 2 02 49999 00 0000 150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619 300,00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619 300,00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317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000 2 02 49999 05 0000 150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619 300,00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619 300,00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458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000 2 04 00000 00 0000 000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 ОТ НЕГОСУДАРСТВЕННЫХ ОРГАНИЗАЦИЙ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45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000 2 04 05000 05 0000 150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8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000 2 04 05020 05 0000 150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340 000,00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274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000 2 07 00000 00 0000 000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368 975,00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1 007 825,00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273,1%</w:t>
            </w:r>
          </w:p>
        </w:tc>
      </w:tr>
      <w:tr>
        <w:trPr>
          <w:trHeight w:val="51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000 2 07 05000 05 0000 150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368 975,00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1 007 825,00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273,1%</w:t>
            </w:r>
          </w:p>
        </w:tc>
      </w:tr>
      <w:tr>
        <w:trPr>
          <w:trHeight w:val="839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000 2 07 05020 05 0000 150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368 975,00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1 007 825,00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273,1%</w:t>
            </w:r>
          </w:p>
        </w:tc>
      </w:tr>
      <w:tr>
        <w:trPr>
          <w:trHeight w:val="850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000 2 19 00000 00 0000 000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-409 895,35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833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000 2 19 00000 05 0000 150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-409 895,35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832" w:hRule="atLeast"/>
        </w:trPr>
        <w:tc>
          <w:tcPr>
            <w:tcW w:w="307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000 2 19 60010 05 0000 150</w:t>
            </w:r>
          </w:p>
        </w:tc>
        <w:tc>
          <w:tcPr>
            <w:tcW w:w="695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-409 895,35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28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Расходы бюджета - всего       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771 308 373,95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508 011 568,18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65,8%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81 962 365,53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62 064 450,42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75,7%</w:t>
            </w:r>
          </w:p>
        </w:tc>
      </w:tr>
      <w:tr>
        <w:trPr>
          <w:trHeight w:val="5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2 367 293,90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1 776 756,53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75,0%</w:t>
            </w:r>
          </w:p>
        </w:tc>
      </w:tr>
      <w:tr>
        <w:trPr>
          <w:trHeight w:val="69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677 400,00 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552 196,48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81,5%</w:t>
            </w:r>
          </w:p>
        </w:tc>
      </w:tr>
      <w:tr>
        <w:trPr>
          <w:trHeight w:val="84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000 0104 0000000000 000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38 459 930,74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33 492 031,13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87,0%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000 0105 0000000000 000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Судебная система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257 300,00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257 294,00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81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000 0106 0000000000 000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9 413 341,70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7 196 826,13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76,4%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000 0111 0000000000 000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Резервные фонды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150 000,00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000 0113 0000000000 000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30 637 099,19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18 789 346,15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42,1%</w:t>
            </w:r>
          </w:p>
        </w:tc>
      </w:tr>
      <w:tr>
        <w:trPr>
          <w:trHeight w:val="30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000 0300 0000000000 000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142 000,00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37 836,00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61,3%</w:t>
            </w:r>
          </w:p>
        </w:tc>
      </w:tr>
      <w:tr>
        <w:trPr>
          <w:trHeight w:val="2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000 0310 0000000000 000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142 000,00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37 836,00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26,6%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24 222 841,92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12 086 325,33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49,8%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000 0405 0000000000 000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170 900,00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168 849,78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98,8%</w:t>
            </w:r>
          </w:p>
        </w:tc>
      </w:tr>
      <w:tr>
        <w:trPr>
          <w:trHeight w:val="23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000 0409 0000000000 000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22 290 942,58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11 832 875,55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53,0%</w:t>
            </w:r>
          </w:p>
        </w:tc>
      </w:tr>
      <w:tr>
        <w:trPr>
          <w:trHeight w:val="33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000 0412 0000000000 000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1 760 999,34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84 600,00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4,8%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23 147 517,10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9 960 390,04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43,0%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14 913 305,10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5 738 144,01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38,4%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Благоустройство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5 545 112,00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3 409 471,00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61,4%</w:t>
            </w:r>
          </w:p>
        </w:tc>
      </w:tr>
      <w:tr>
        <w:trPr>
          <w:trHeight w:val="33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000 0505 0000000000 000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2 689 100,00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812 775,03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30,2%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Образование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508 272 652,63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323 159 791,37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63,5%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168 431 493,40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98 215 244,98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58,3%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Общее образование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284 060 027,57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180 778 071,15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63,6%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35 363 590,65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28 451 060,41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80,4%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000 0707 0000000000 000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Молодежная политика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3 817 459,35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3 542 539,95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92,7%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000 0709 0000000000 000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16 600 081,66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12 172 874,88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73,3%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000 0800 0000000000 000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28 460 796,69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22 188 179,33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77,9%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000 0801 0000000000 000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Культура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18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153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200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33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13 278 566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03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73,1%</w:t>
            </w:r>
          </w:p>
        </w:tc>
      </w:tr>
      <w:tr>
        <w:trPr>
          <w:trHeight w:val="26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000 0804 0000000000 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0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10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307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596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,36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8 909 613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30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86,4%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Социальная политика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928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65,99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46 636 463</w:t>
            </w: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kern w:val="0"/>
                <w:sz w:val="24"/>
                <w:szCs w:val="24"/>
                <w:lang w:val="en-US" w:eastAsia="ru-RU" w:bidi="ar-SA"/>
              </w:rPr>
              <w:t>67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71,8%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3 500 000,00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2 675 530,26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76,4%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33 112 121,00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21 017 078,89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63,4%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000 1004 0000000000 000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Охрана семьи и детства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25 534 965,99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20 988 926,98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82,1%</w:t>
            </w:r>
          </w:p>
        </w:tc>
      </w:tr>
      <w:tr>
        <w:trPr>
          <w:trHeight w:val="30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000 1006 0000000000 000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2 781 079,00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1 954 927,54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70,2%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000 1100 0000000000 000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12 940 634,09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11 127 786,77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85,9%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000 1101 0000000000 000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Физическая культура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8 440 634,09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7 657 427,27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90,7%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000 1102 0000000000 000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Массовый спорт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4 500 000,00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3 470 359,50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77,1%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000 1200 0000000000 000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1 677 700,00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1 615 200,00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96,2%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000 1202 0000000000 000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Периодическая печать и издательства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1 677 700,00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1 615 200,00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96,2%</w:t>
            </w:r>
          </w:p>
        </w:tc>
      </w:tr>
      <w:tr>
        <w:trPr>
          <w:trHeight w:val="289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000 1300 0000000000 000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4 500 700,00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3 370 145,25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74,8%</w:t>
            </w:r>
          </w:p>
        </w:tc>
      </w:tr>
      <w:tr>
        <w:trPr>
          <w:trHeight w:val="549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000 1301 0000000000 000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4 500 700,00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3 370 145,25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74,8%</w:t>
            </w:r>
          </w:p>
        </w:tc>
      </w:tr>
      <w:tr>
        <w:trPr>
          <w:trHeight w:val="57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000 1400 0000000000 000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21 053 000,00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15 765 000,00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74,8%</w:t>
            </w:r>
          </w:p>
        </w:tc>
      </w:tr>
      <w:tr>
        <w:trPr>
          <w:trHeight w:val="26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000 1403 0000000000 000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21 053 000,00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15 765 000,00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74,8%</w:t>
            </w:r>
          </w:p>
        </w:tc>
      </w:tr>
      <w:tr>
        <w:trPr>
          <w:trHeight w:val="363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Результат исполнения бюджета (дефицит/профицит)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-15 932 900,00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24 491 870,76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Источники финансирования дефицита бюджетов - всего</w:t>
            </w:r>
          </w:p>
        </w:tc>
        <w:tc>
          <w:tcPr>
            <w:tcW w:w="184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15 932 900,00</w:t>
            </w:r>
          </w:p>
        </w:tc>
        <w:tc>
          <w:tcPr>
            <w:tcW w:w="18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-24 491 870,76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4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Кредиты кредитных организаций в валюте 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-23 100 000,00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-25 000 000,00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108,2%</w:t>
            </w:r>
          </w:p>
        </w:tc>
      </w:tr>
      <w:tr>
        <w:trPr>
          <w:trHeight w:val="48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000 01 02 00 00 00 0000 700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000 01 02 00 00 05 0000 710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7 900 000,00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568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000 01 02 00 00 00 0000 800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-31 000 000,00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48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000 01 02 00 00 05 0000 810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-31 000 000,00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100,0%</w:t>
            </w:r>
          </w:p>
        </w:tc>
      </w:tr>
      <w:tr>
        <w:trPr>
          <w:trHeight w:val="55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000 01 03 00 00 00 0000 000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91,9%</w:t>
            </w:r>
          </w:p>
        </w:tc>
      </w:tr>
      <w:tr>
        <w:trPr>
          <w:trHeight w:val="55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000 01 03 01 00 00 0000 000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91,9%</w:t>
            </w:r>
          </w:p>
        </w:tc>
      </w:tr>
      <w:tr>
        <w:trPr>
          <w:trHeight w:val="572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000 01 03 01 00 00 0000 700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91,9%</w:t>
            </w:r>
          </w:p>
        </w:tc>
      </w:tr>
      <w:tr>
        <w:trPr>
          <w:trHeight w:val="552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000 01 03 01 00 05 0000 710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31 000 000,00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28 500 000,00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91,9%</w:t>
            </w:r>
          </w:p>
        </w:tc>
      </w:tr>
      <w:tr>
        <w:trPr>
          <w:trHeight w:val="54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000 01 06 00 00 00 0000 000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63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55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000 01 06 05 00 00 0000 600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000 01 06 05 02 00 0000 600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74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000 01 06 05 02 05 0000 640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3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000 01 06 05 00 00 0000 500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Предоставление бюджетных кредитов внутри  страны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3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000 01 06 05 02 00 0000 500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3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000 01 06 05 02 05 0000 540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-3 000 000,00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0,0%</w:t>
            </w:r>
          </w:p>
        </w:tc>
      </w:tr>
      <w:tr>
        <w:trPr>
          <w:trHeight w:val="24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000 01 00 00 00 00 0000 000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Изменение остатков средств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8 032 900,00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-21 991 870,76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  <w:tr>
        <w:trPr>
          <w:trHeight w:val="366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000 01 00 00 00 00 0000 500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Увеличение остатков средств, всего        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-795 325 108,25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-563 312 261,14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70,8%</w:t>
            </w:r>
          </w:p>
        </w:tc>
      </w:tr>
      <w:tr>
        <w:trPr>
          <w:trHeight w:val="369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000 01 05 00 00 00 0000 500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-795 325 108,25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-563 312 261,14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70,8%</w:t>
            </w:r>
          </w:p>
        </w:tc>
      </w:tr>
      <w:tr>
        <w:trPr>
          <w:trHeight w:val="36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000 01 05 02 00 00 0000 500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-795 325 108,25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-563 312 261,14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70,8%</w:t>
            </w:r>
          </w:p>
        </w:tc>
      </w:tr>
      <w:tr>
        <w:trPr>
          <w:trHeight w:val="367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000 01 05 02 01 00 0000 510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прочих остатков денежных средств 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-795 325 108,25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-563 312 261,14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70,8%</w:t>
            </w:r>
          </w:p>
        </w:tc>
      </w:tr>
      <w:tr>
        <w:trPr>
          <w:trHeight w:val="291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000 01 05 02 01 05 0000 510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-795 325 108,25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-563 312 261,14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70,8%</w:t>
            </w:r>
          </w:p>
        </w:tc>
      </w:tr>
      <w:tr>
        <w:trPr>
          <w:trHeight w:val="34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000 01 00 00 00 00 0000 600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 xml:space="preserve">Уменьшение остатков средств, всего     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803 358 008,25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541 320 390,38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67,4%</w:t>
            </w:r>
          </w:p>
        </w:tc>
      </w:tr>
      <w:tr>
        <w:trPr>
          <w:trHeight w:val="30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000 01 05 00 00 00 0000 600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803 358 008,25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541 320 390,38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67,4%</w:t>
            </w:r>
          </w:p>
        </w:tc>
      </w:tr>
      <w:tr>
        <w:trPr>
          <w:trHeight w:val="29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000 01 05 02 00 00 0000 600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803 358 008,25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541 320 390,38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67,4%</w:t>
            </w:r>
          </w:p>
        </w:tc>
      </w:tr>
      <w:tr>
        <w:trPr>
          <w:trHeight w:val="310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000 01 05 02 01 00 0000 610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прочих остатков денежных средств  бюджетов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803 358 008,25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541 320 390,38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67,4%</w:t>
            </w:r>
          </w:p>
        </w:tc>
      </w:tr>
      <w:tr>
        <w:trPr>
          <w:trHeight w:val="415" w:hRule="atLeast"/>
        </w:trPr>
        <w:tc>
          <w:tcPr>
            <w:tcW w:w="306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eastAsia="ru-RU" w:bidi="ar-SA"/>
              </w:rPr>
              <w:t>000 01 05 02 01 05 0000 610</w:t>
            </w:r>
          </w:p>
        </w:tc>
        <w:tc>
          <w:tcPr>
            <w:tcW w:w="696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803 358 008,25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541 320 390,38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 w:eastAsia="ru-RU" w:bidi="ar-SA"/>
              </w:rPr>
              <w:t>67,4%</w:t>
            </w:r>
          </w:p>
        </w:tc>
      </w:tr>
    </w:tbl>
    <w:p>
      <w:pPr>
        <w:pStyle w:val="Normal"/>
        <w:tabs>
          <w:tab w:val="clear" w:pos="708"/>
          <w:tab w:val="left" w:pos="10680" w:leader="none"/>
        </w:tabs>
        <w:rPr>
          <w:lang w:eastAsia="en-US"/>
        </w:rPr>
      </w:pPr>
      <w:r>
        <w:rPr/>
      </w:r>
    </w:p>
    <w:sectPr>
      <w:footerReference w:type="default" r:id="rId7"/>
      <w:type w:val="nextPage"/>
      <w:pgSz w:orient="landscape" w:w="16838" w:h="11906"/>
      <w:pgMar w:left="907" w:right="907" w:gutter="0" w:header="0" w:top="1021" w:footer="102" w:bottom="624"/>
      <w:pgNumType w:start="1"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jc w:val="center"/>
      <w:rPr/>
    </w:pPr>
    <w:r>
      <w:rPr/>
    </w:r>
  </w:p>
  <w:p>
    <w:pPr>
      <w:pStyle w:val="Style1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6"/>
      <w:jc w:val="center"/>
      <w:rPr/>
    </w:pPr>
    <w:r>
      <w:rPr/>
    </w:r>
  </w:p>
  <w:p>
    <w:pPr>
      <w:pStyle w:val="Style1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1850"/>
        </w:tabs>
        <w:ind w:left="1850" w:hanging="432"/>
      </w:pPr>
      <w:rPr/>
    </w:lvl>
    <w:lvl w:ilvl="1">
      <w:start w:val="1"/>
      <w:pStyle w:val="2"/>
      <w:numFmt w:val="decimal"/>
      <w:lvlText w:val="%1.%2"/>
      <w:lvlJc w:val="left"/>
      <w:pPr>
        <w:tabs>
          <w:tab w:val="num" w:pos="1994"/>
        </w:tabs>
        <w:ind w:left="1994" w:hanging="576"/>
      </w:pPr>
      <w:rPr/>
    </w:lvl>
    <w:lvl w:ilvl="2">
      <w:start w:val="1"/>
      <w:pStyle w:val="3"/>
      <w:numFmt w:val="decimal"/>
      <w:lvlText w:val="%1.%2.%3"/>
      <w:lvlJc w:val="left"/>
      <w:pPr>
        <w:tabs>
          <w:tab w:val="num" w:pos="2138"/>
        </w:tabs>
        <w:ind w:left="2138" w:hanging="720"/>
      </w:pPr>
      <w:rPr/>
    </w:lvl>
    <w:lvl w:ilvl="3">
      <w:start w:val="1"/>
      <w:pStyle w:val="4"/>
      <w:numFmt w:val="decimal"/>
      <w:lvlText w:val="%1.%2.%3.%4"/>
      <w:lvlJc w:val="left"/>
      <w:pPr>
        <w:tabs>
          <w:tab w:val="num" w:pos="2282"/>
        </w:tabs>
        <w:ind w:left="2282" w:hanging="864"/>
      </w:pPr>
      <w:rPr/>
    </w:lvl>
    <w:lvl w:ilvl="4">
      <w:start w:val="1"/>
      <w:pStyle w:val="5"/>
      <w:numFmt w:val="decimal"/>
      <w:lvlText w:val="%1.%2.%3.%4.%5"/>
      <w:lvlJc w:val="left"/>
      <w:pPr>
        <w:tabs>
          <w:tab w:val="num" w:pos="2426"/>
        </w:tabs>
        <w:ind w:left="2426" w:hanging="1008"/>
      </w:pPr>
      <w:rPr/>
    </w:lvl>
    <w:lvl w:ilvl="5">
      <w:start w:val="1"/>
      <w:pStyle w:val="6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/>
    </w:lvl>
    <w:lvl w:ilvl="6">
      <w:start w:val="1"/>
      <w:pStyle w:val="7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/>
    </w:lvl>
    <w:lvl w:ilvl="7">
      <w:start w:val="1"/>
      <w:pStyle w:val="8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/>
    </w:lvl>
    <w:lvl w:ilvl="8">
      <w:start w:val="1"/>
      <w:pStyle w:val="9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023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e1023b"/>
    <w:pPr>
      <w:keepNext w:val="true"/>
      <w:numPr>
        <w:ilvl w:val="0"/>
        <w:numId w:val="1"/>
      </w:numPr>
      <w:tabs>
        <w:tab w:val="clear" w:pos="708"/>
        <w:tab w:val="left" w:pos="-2410" w:leader="none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Normal"/>
    <w:next w:val="Normal"/>
    <w:link w:val="21"/>
    <w:qFormat/>
    <w:rsid w:val="00e1023b"/>
    <w:pPr>
      <w:keepNext w:val="true"/>
      <w:numPr>
        <w:ilvl w:val="1"/>
        <w:numId w:val="1"/>
      </w:numPr>
      <w:tabs>
        <w:tab w:val="clear" w:pos="708"/>
        <w:tab w:val="left" w:pos="-2410" w:leader="none"/>
      </w:tabs>
      <w:jc w:val="center"/>
      <w:outlineLvl w:val="1"/>
    </w:pPr>
    <w:rPr>
      <w:sz w:val="24"/>
    </w:rPr>
  </w:style>
  <w:style w:type="paragraph" w:styleId="3">
    <w:name w:val="Heading 3"/>
    <w:basedOn w:val="Normal"/>
    <w:next w:val="Normal"/>
    <w:link w:val="31"/>
    <w:qFormat/>
    <w:rsid w:val="00e1023b"/>
    <w:pPr>
      <w:keepNext w:val="true"/>
      <w:numPr>
        <w:ilvl w:val="2"/>
        <w:numId w:val="1"/>
      </w:numPr>
      <w:tabs>
        <w:tab w:val="clear" w:pos="708"/>
        <w:tab w:val="left" w:pos="-2410" w:leader="none"/>
      </w:tabs>
      <w:jc w:val="both"/>
      <w:outlineLvl w:val="2"/>
    </w:pPr>
    <w:rPr>
      <w:sz w:val="32"/>
    </w:rPr>
  </w:style>
  <w:style w:type="paragraph" w:styleId="4">
    <w:name w:val="Heading 4"/>
    <w:basedOn w:val="Normal"/>
    <w:next w:val="Normal"/>
    <w:link w:val="41"/>
    <w:qFormat/>
    <w:rsid w:val="00e1023b"/>
    <w:pPr>
      <w:keepNext w:val="true"/>
      <w:numPr>
        <w:ilvl w:val="3"/>
        <w:numId w:val="1"/>
      </w:numPr>
      <w:tabs>
        <w:tab w:val="clear" w:pos="708"/>
        <w:tab w:val="left" w:pos="-2410" w:leader="none"/>
      </w:tabs>
      <w:jc w:val="center"/>
      <w:outlineLvl w:val="3"/>
    </w:pPr>
    <w:rPr>
      <w:sz w:val="28"/>
    </w:rPr>
  </w:style>
  <w:style w:type="paragraph" w:styleId="5">
    <w:name w:val="Heading 5"/>
    <w:basedOn w:val="Normal"/>
    <w:next w:val="Normal"/>
    <w:link w:val="51"/>
    <w:qFormat/>
    <w:rsid w:val="00e1023b"/>
    <w:pPr>
      <w:keepNext w:val="true"/>
      <w:numPr>
        <w:ilvl w:val="4"/>
        <w:numId w:val="1"/>
      </w:numPr>
      <w:tabs>
        <w:tab w:val="clear" w:pos="708"/>
        <w:tab w:val="left" w:pos="-2410" w:leader="none"/>
      </w:tabs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link w:val="61"/>
    <w:qFormat/>
    <w:rsid w:val="00e1023b"/>
    <w:pPr>
      <w:keepNext w:val="true"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Normal"/>
    <w:next w:val="Normal"/>
    <w:link w:val="71"/>
    <w:qFormat/>
    <w:rsid w:val="00e1023b"/>
    <w:pPr>
      <w:keepNext w:val="true"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Normal"/>
    <w:next w:val="Normal"/>
    <w:link w:val="81"/>
    <w:qFormat/>
    <w:rsid w:val="00e1023b"/>
    <w:pPr>
      <w:keepNext w:val="true"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Normal"/>
    <w:next w:val="Normal"/>
    <w:link w:val="91"/>
    <w:qFormat/>
    <w:rsid w:val="00e1023b"/>
    <w:pPr>
      <w:keepNext w:val="true"/>
      <w:numPr>
        <w:ilvl w:val="8"/>
        <w:numId w:val="1"/>
      </w:numPr>
      <w:jc w:val="center"/>
      <w:outlineLvl w:val="8"/>
    </w:pPr>
    <w:rPr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e1023b"/>
    <w:rPr>
      <w:rFonts w:ascii="Arial" w:hAnsi="Arial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qFormat/>
    <w:rsid w:val="00e1023b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qFormat/>
    <w:rsid w:val="00e102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qFormat/>
    <w:rsid w:val="00e102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 w:customStyle="1">
    <w:name w:val="Заголовок 6 Знак"/>
    <w:basedOn w:val="DefaultParagraphFont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qFormat/>
    <w:rsid w:val="00e1023b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qFormat/>
    <w:rsid w:val="00e1023b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qFormat/>
    <w:rsid w:val="00e1023b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Style5" w:customStyle="1">
    <w:name w:val="Текст выноски Знак"/>
    <w:basedOn w:val="DefaultParagraphFont"/>
    <w:link w:val="BalloonText"/>
    <w:uiPriority w:val="99"/>
    <w:semiHidden/>
    <w:qFormat/>
    <w:rsid w:val="00e1023b"/>
    <w:rPr>
      <w:rFonts w:ascii="Tahoma" w:hAnsi="Tahoma" w:eastAsia="Times New Roman" w:cs="Tahoma"/>
      <w:sz w:val="16"/>
      <w:szCs w:val="16"/>
      <w:lang w:eastAsia="ru-RU"/>
    </w:rPr>
  </w:style>
  <w:style w:type="character" w:styleId="Style6" w:customStyle="1">
    <w:name w:val="Верхний колонтитул Знак"/>
    <w:basedOn w:val="DefaultParagraphFont"/>
    <w:uiPriority w:val="99"/>
    <w:semiHidden/>
    <w:qFormat/>
    <w:rsid w:val="00e32dcc"/>
    <w:rPr>
      <w:rFonts w:ascii="Times New Roman" w:hAnsi="Times New Roman" w:eastAsia="Times New Roman"/>
    </w:rPr>
  </w:style>
  <w:style w:type="character" w:styleId="Style7" w:customStyle="1">
    <w:name w:val="Нижний колонтитул Знак"/>
    <w:basedOn w:val="DefaultParagraphFont"/>
    <w:uiPriority w:val="99"/>
    <w:qFormat/>
    <w:rsid w:val="00e32dcc"/>
    <w:rPr>
      <w:rFonts w:ascii="Times New Roman" w:hAnsi="Times New Roman" w:eastAsia="Times New Roman"/>
    </w:rPr>
  </w:style>
  <w:style w:type="character" w:styleId="Style8">
    <w:name w:val="Hyperlink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e1023b"/>
    <w:pPr>
      <w:widowControl/>
      <w:bidi w:val="0"/>
      <w:spacing w:before="0" w:after="0"/>
      <w:ind w:firstLine="720"/>
      <w:jc w:val="left"/>
    </w:pPr>
    <w:rPr>
      <w:rFonts w:ascii="Arial" w:hAnsi="Arial" w:cs="Arial" w:eastAsia="Calibri"/>
      <w:color w:val="auto"/>
      <w:kern w:val="0"/>
      <w:sz w:val="20"/>
      <w:szCs w:val="20"/>
      <w:lang w:eastAsia="en-US" w:val="ru-RU" w:bidi="ar-SA"/>
    </w:rPr>
  </w:style>
  <w:style w:type="paragraph" w:styleId="ConsPlusTitle" w:customStyle="1">
    <w:name w:val="ConsPlusTitle"/>
    <w:uiPriority w:val="99"/>
    <w:qFormat/>
    <w:rsid w:val="00e1023b"/>
    <w:pPr>
      <w:widowControl/>
      <w:bidi w:val="0"/>
      <w:spacing w:before="0" w:after="0"/>
      <w:jc w:val="left"/>
    </w:pPr>
    <w:rPr>
      <w:rFonts w:ascii="Arial" w:hAnsi="Arial" w:cs="Arial" w:eastAsia="Calibri"/>
      <w:b/>
      <w:bCs/>
      <w:color w:val="auto"/>
      <w:kern w:val="0"/>
      <w:sz w:val="20"/>
      <w:szCs w:val="20"/>
      <w:lang w:eastAsia="en-US" w:val="ru-RU" w:bidi="ar-SA"/>
    </w:rPr>
  </w:style>
  <w:style w:type="paragraph" w:styleId="BalloonText">
    <w:name w:val="Balloon Text"/>
    <w:basedOn w:val="Normal"/>
    <w:link w:val="Style5"/>
    <w:uiPriority w:val="99"/>
    <w:semiHidden/>
    <w:unhideWhenUsed/>
    <w:qFormat/>
    <w:rsid w:val="00e1023b"/>
    <w:pPr/>
    <w:rPr>
      <w:rFonts w:ascii="Tahoma" w:hAnsi="Tahoma" w:cs="Tahoma"/>
      <w:sz w:val="16"/>
      <w:szCs w:val="16"/>
    </w:rPr>
  </w:style>
  <w:style w:type="paragraph" w:styleId="Style14">
    <w:name w:val="Колонтитул"/>
    <w:basedOn w:val="Normal"/>
    <w:qFormat/>
    <w:pPr/>
    <w:rPr/>
  </w:style>
  <w:style w:type="paragraph" w:styleId="Style15">
    <w:name w:val="Header"/>
    <w:basedOn w:val="Normal"/>
    <w:link w:val="Style6"/>
    <w:uiPriority w:val="99"/>
    <w:semiHidden/>
    <w:unhideWhenUsed/>
    <w:rsid w:val="00e32dc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6">
    <w:name w:val="Footer"/>
    <w:basedOn w:val="Normal"/>
    <w:link w:val="Style7"/>
    <w:uiPriority w:val="99"/>
    <w:unhideWhenUsed/>
    <w:rsid w:val="00e32dc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6637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6CFA0ABAC1A340F1C4530C154065EA2D74A287D8D6977D337B40876CB6C8B921F896B086D53X9k8H" TargetMode="External"/><Relationship Id="rId4" Type="http://schemas.openxmlformats.org/officeDocument/2006/relationships/hyperlink" Target="consultantplus://offline/ref=0B11A1C32344B7C300BD3E0AEF470A7C36704A3F6F01BB45F6DF62B92CDD84992038008E688CF111086249c5rBH" TargetMode="External"/><Relationship Id="rId5" Type="http://schemas.openxmlformats.org/officeDocument/2006/relationships/hyperlink" Target="consultantplus://offline/ref=559A1DDFC084FF11CFA71FB5905EE00D1E9D84ADB8255D2D69EDF00CDBE51848708E97E13E3257BE8F671CW5s8H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68D1-4921-4A1A-84D0-55EFACCA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Application>LibreOffice/7.4.2.3$Windows_X86_64 LibreOffice_project/382eef1f22670f7f4118c8c2dd222ec7ad009daf</Application>
  <AppVersion>15.0000</AppVersion>
  <Pages>23</Pages>
  <Words>7061</Words>
  <Characters>41877</Characters>
  <CharactersWithSpaces>48255</CharactersWithSpaces>
  <Paragraphs>1269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2022-07-13T11:51:00Z</dcterms:created>
  <dc:creator>Светлана Н. Сапоненко</dc:creator>
  <dc:description/>
  <dc:language>ru-RU</dc:language>
  <cp:lastModifiedBy/>
  <cp:lastPrinted>2020-10-15T05:01:00Z</cp:lastPrinted>
  <dcterms:modified xsi:type="dcterms:W3CDTF">2022-10-27T11:12:15Z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