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clear" w:pos="708"/>
          <w:tab w:val="left" w:pos="5432" w:leader="none"/>
        </w:tabs>
        <w:bidi w:val="0"/>
        <w:jc w:val="center"/>
        <w:rPr/>
      </w:pPr>
      <w:r>
        <w:rPr/>
        <w:drawing>
          <wp:inline distT="0" distB="0" distL="0" distR="0">
            <wp:extent cx="574675" cy="92202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98" t="-1550" r="-2298" b="-1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bidi w:val="0"/>
        <w:jc w:val="center"/>
        <w:rPr/>
      </w:pPr>
      <w:r>
        <w:rPr/>
      </w:r>
    </w:p>
    <w:p>
      <w:pPr>
        <w:pStyle w:val="Style27"/>
        <w:bidi w:val="0"/>
        <w:spacing w:lineRule="atLeast" w:line="200" w:before="0" w:after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6"/>
          <w:szCs w:val="26"/>
        </w:rPr>
        <w:t>ВОЛГОГРАДСКАЯ ОБЛАСТЬ</w:t>
      </w:r>
    </w:p>
    <w:p>
      <w:pPr>
        <w:pStyle w:val="Style27"/>
        <w:bidi w:val="0"/>
        <w:spacing w:lineRule="atLeast" w:line="200" w:before="0" w:after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6"/>
          <w:szCs w:val="26"/>
        </w:rPr>
        <w:t>ЖИРНОВСКИЙ МУНИЦИПАЛЬНЫЙ РАЙОН</w:t>
      </w:r>
    </w:p>
    <w:p>
      <w:pPr>
        <w:pStyle w:val="Textbody"/>
        <w:bidi w:val="0"/>
        <w:spacing w:lineRule="atLeast" w:line="200" w:before="0" w:after="0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Style34"/>
        <w:spacing w:lineRule="atLeast" w:line="200"/>
        <w:rPr>
          <w:rFonts w:ascii="Times New Roman" w:hAnsi="Times New Roman" w:cs="Times New Roman"/>
          <w:bCs/>
          <w:i w:val="false"/>
          <w:i w:val="false"/>
          <w:iCs w:val="false"/>
          <w:sz w:val="28"/>
          <w:szCs w:val="28"/>
        </w:rPr>
      </w:pPr>
      <w:r>
        <w:rPr>
          <w:rFonts w:cs="Times New Roman"/>
          <w:bCs/>
          <w:i w:val="false"/>
          <w:iCs w:val="false"/>
          <w:sz w:val="28"/>
          <w:szCs w:val="28"/>
        </w:rPr>
        <w:t>С О В Е Т</w:t>
      </w:r>
    </w:p>
    <w:p>
      <w:pPr>
        <w:pStyle w:val="Style34"/>
        <w:spacing w:lineRule="atLeast" w:line="200"/>
        <w:rPr>
          <w:rFonts w:ascii="Times New Roman" w:hAnsi="Times New Roman" w:cs="Times New Roman"/>
          <w:bCs/>
          <w:i w:val="false"/>
          <w:i w:val="false"/>
          <w:iCs w:val="false"/>
          <w:sz w:val="28"/>
          <w:szCs w:val="28"/>
        </w:rPr>
      </w:pPr>
      <w:r>
        <w:rPr>
          <w:rFonts w:cs="Times New Roman"/>
          <w:bCs/>
          <w:i w:val="false"/>
          <w:iCs w:val="false"/>
          <w:sz w:val="28"/>
          <w:szCs w:val="28"/>
        </w:rPr>
        <w:t>Ж И Р Н О В С К О Г О    Г О Р О Д С К О Г О   П О С Е Л Е Н И Я</w:t>
      </w:r>
    </w:p>
    <w:p>
      <w:pPr>
        <w:pStyle w:val="Standard"/>
        <w:pBdr>
          <w:bottom w:val="double" w:sz="18" w:space="0" w:color="000000"/>
        </w:pBdr>
        <w:bidi w:val="0"/>
        <w:spacing w:lineRule="atLeast" w:line="200"/>
        <w:jc w:val="center"/>
        <w:rPr>
          <w:b/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</w:r>
    </w:p>
    <w:p>
      <w:pPr>
        <w:pStyle w:val="Standard"/>
        <w:bidi w:val="0"/>
        <w:jc w:val="center"/>
        <w:rPr>
          <w:rFonts w:cs="Times New Roman"/>
          <w:b/>
          <w:b/>
          <w:color w:val="000000"/>
          <w:sz w:val="14"/>
          <w:szCs w:val="14"/>
        </w:rPr>
      </w:pPr>
      <w:r>
        <w:rPr>
          <w:rFonts w:cs="Times New Roman"/>
          <w:b/>
          <w:color w:val="000000"/>
          <w:sz w:val="14"/>
          <w:szCs w:val="14"/>
        </w:rPr>
      </w:r>
    </w:p>
    <w:p>
      <w:pPr>
        <w:pStyle w:val="21"/>
        <w:bidi w:val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>
      <w:pPr>
        <w:pStyle w:val="Normal"/>
        <w:widowControl w:val="false"/>
        <w:spacing w:lineRule="auto" w:line="240"/>
        <w:ind w:right="5385" w:hanging="0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от  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02.02.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2022 г. №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19/118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    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3118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Совета Жирновского городского поселения Жирновского муниципального района Волгоградской области от 09.08.2021 г. № 16/87 «Об утверждении Положения о муниципальном земельном контроле на территории городского поселения Жирновское Жирновского муниципального района Волгоградской области» 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реализации Федерального закона от 31.07.2020 № 248-ФЗ «О государственном контроле (надзоре) и муниципальном контроле в Российской Федерации», в соответствии с </w:t>
      </w:r>
      <w:r>
        <w:rPr>
          <w:rFonts w:ascii="Times New Roman" w:hAnsi="Times New Roman"/>
          <w:color w:val="000000"/>
          <w:sz w:val="24"/>
          <w:szCs w:val="24"/>
        </w:rPr>
        <w:t>Уставом городского поселения Жирновское Жирновского муниципального района Волгоградской области Совет Жирновского городского поселения Жирновского муниципального района Волгоградской области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РЕШИЛ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Положение о муниципальном земельном контроле на территории городского поселения Жирновское Жирновского муниципального района Волгоградской области</w:t>
      </w:r>
      <w:r>
        <w:rPr>
          <w:rFonts w:ascii="Times New Roman" w:hAnsi="Times New Roman"/>
          <w:iCs/>
          <w:sz w:val="24"/>
          <w:szCs w:val="24"/>
        </w:rPr>
        <w:t xml:space="preserve">, утвержденное </w:t>
      </w:r>
      <w:r>
        <w:rPr>
          <w:rFonts w:ascii="Times New Roman" w:hAnsi="Times New Roman"/>
          <w:sz w:val="24"/>
          <w:szCs w:val="24"/>
        </w:rPr>
        <w:t xml:space="preserve">решением Совета Жирновского городского поселения Жирновского муниципального района Волгоградской области от 09.08.2021 г. № 16/87, (далее – Положение) </w:t>
      </w:r>
      <w:r>
        <w:rPr>
          <w:rFonts w:ascii="Times New Roman" w:hAnsi="Times New Roman"/>
          <w:iCs/>
          <w:sz w:val="24"/>
          <w:szCs w:val="24"/>
        </w:rPr>
        <w:t>следующие изменения:</w:t>
      </w:r>
    </w:p>
    <w:p>
      <w:pPr>
        <w:pStyle w:val="Normal"/>
        <w:keepNext w:val="true"/>
        <w:keepLines/>
        <w:tabs>
          <w:tab w:val="clear" w:pos="708"/>
          <w:tab w:val="left" w:pos="-360" w:leader="none"/>
        </w:tabs>
        <w:spacing w:before="0" w:after="0"/>
        <w:ind w:left="0" w:right="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1.1. в </w:t>
      </w:r>
      <w:r>
        <w:rPr>
          <w:rFonts w:ascii="Times New Roman" w:hAnsi="Times New Roman"/>
          <w:sz w:val="24"/>
          <w:szCs w:val="24"/>
        </w:rPr>
        <w:t>пункте 1.4. Положения абзац первый изложить в следующей редакции:</w:t>
      </w:r>
    </w:p>
    <w:p>
      <w:pPr>
        <w:pStyle w:val="Style37"/>
        <w:tabs>
          <w:tab w:val="clear" w:pos="708"/>
          <w:tab w:val="left" w:pos="1134" w:leader="none"/>
        </w:tabs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«1.4. Учет объектов контроля осуществляется посредством использования:»;</w:t>
      </w:r>
    </w:p>
    <w:p>
      <w:pPr>
        <w:pStyle w:val="Style37"/>
        <w:tabs>
          <w:tab w:val="clear" w:pos="708"/>
          <w:tab w:val="left" w:pos="1134" w:leader="none"/>
        </w:tabs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пункте 1.10. положения слова «и (или) через региональный портал государственных и муниципальных услуг» исключить;</w:t>
      </w:r>
    </w:p>
    <w:p>
      <w:pPr>
        <w:pStyle w:val="Style37"/>
        <w:tabs>
          <w:tab w:val="clear" w:pos="708"/>
          <w:tab w:val="left" w:pos="1134" w:leader="none"/>
        </w:tabs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в абзаце первом пункта 5.2. Положения слова «и (или) региональных порталов государственных и муниципальных услуг» исключить;</w:t>
      </w:r>
    </w:p>
    <w:p>
      <w:pPr>
        <w:pStyle w:val="Style37"/>
        <w:tabs>
          <w:tab w:val="clear" w:pos="708"/>
          <w:tab w:val="left" w:pos="1134" w:leader="none"/>
        </w:tabs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в пункте 5.21. Положения слова «и (или) региональном портале государственных и муниципальных услуг» исключить;</w:t>
      </w:r>
    </w:p>
    <w:p>
      <w:pPr>
        <w:sectPr>
          <w:type w:val="nextPage"/>
          <w:pgSz w:w="11906" w:h="16838"/>
          <w:pgMar w:left="1418" w:right="1134" w:gutter="0" w:header="0" w:top="1276" w:footer="0" w:bottom="1134"/>
          <w:pgNumType w:fmt="decimal"/>
          <w:formProt w:val="false"/>
          <w:textDirection w:val="lrTb"/>
          <w:docGrid w:type="default" w:linePitch="360" w:charSpace="4096"/>
        </w:sectPr>
        <w:pStyle w:val="Normal"/>
        <w:widowControl w:val="false"/>
        <w:suppressAutoHyphens w:val="false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приложение 5 к Положению изложить в редакции согласно приложению к настоящему Решению.</w:t>
      </w:r>
    </w:p>
    <w:p>
      <w:pPr>
        <w:pStyle w:val="Normal"/>
        <w:widowControl w:val="false"/>
        <w:suppressAutoHyphens w:val="false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за исполнением решения возложить на заместителя председателя Совета Жирновского городского поселения Жирновского муниципального района Волгоградской области Матыкина С.В.</w:t>
      </w:r>
    </w:p>
    <w:p>
      <w:pPr>
        <w:pStyle w:val="Normal"/>
        <w:widowControl w:val="false"/>
        <w:suppressAutoHyphens w:val="false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Настоящее решение вступает в силу</w:t>
      </w:r>
      <w:r>
        <w:rPr>
          <w:rFonts w:ascii="Times New Roman" w:hAnsi="Times New Roman"/>
          <w:sz w:val="24"/>
          <w:szCs w:val="24"/>
        </w:rPr>
        <w:t xml:space="preserve"> со дня его официального опубликования.</w:t>
      </w:r>
    </w:p>
    <w:p>
      <w:pPr>
        <w:pStyle w:val="2"/>
        <w:spacing w:lineRule="auto" w:line="240"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211"/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 Жирновского</w:t>
      </w:r>
    </w:p>
    <w:p>
      <w:pPr>
        <w:pStyle w:val="211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                                                                                         А.К. Кудрявцев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5103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Приложение  </w:t>
      </w:r>
    </w:p>
    <w:p>
      <w:pPr>
        <w:pStyle w:val="Normal"/>
        <w:ind w:left="5103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Жирновского городского поселения Жирновского муниципального района Волгоградской области </w:t>
      </w:r>
    </w:p>
    <w:p>
      <w:pPr>
        <w:pStyle w:val="ConsPlusNormal"/>
        <w:numPr>
          <w:ilvl w:val="0"/>
          <w:numId w:val="0"/>
        </w:numPr>
        <w:spacing w:lineRule="auto" w:line="192"/>
        <w:ind w:left="5103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 </w:t>
      </w:r>
      <w:r>
        <w:rPr>
          <w:rFonts w:cs="Times New Roman"/>
          <w:sz w:val="24"/>
          <w:szCs w:val="24"/>
        </w:rPr>
        <w:t>02.02.</w:t>
      </w:r>
      <w:r>
        <w:rPr>
          <w:rFonts w:cs="Times New Roman"/>
          <w:sz w:val="24"/>
          <w:szCs w:val="24"/>
        </w:rPr>
        <w:t xml:space="preserve">2022 г. № </w:t>
      </w:r>
      <w:r>
        <w:rPr>
          <w:rFonts w:cs="Times New Roman"/>
          <w:sz w:val="24"/>
          <w:szCs w:val="24"/>
        </w:rPr>
        <w:t>19/118</w:t>
      </w:r>
    </w:p>
    <w:p>
      <w:pPr>
        <w:pStyle w:val="ConsPlusNormal"/>
        <w:numPr>
          <w:ilvl w:val="0"/>
          <w:numId w:val="0"/>
        </w:numPr>
        <w:spacing w:lineRule="auto" w:line="192"/>
        <w:ind w:left="5103" w:right="0" w:firstLine="7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5103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«Приложение 5</w:t>
      </w:r>
    </w:p>
    <w:p>
      <w:pPr>
        <w:pStyle w:val="Normal"/>
        <w:ind w:left="5103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муниципальном земельном контроле на территории городского поселения Жирновское Жирновского муниципального района Волгоградской области»</w:t>
      </w:r>
    </w:p>
    <w:p>
      <w:pPr>
        <w:pStyle w:val="Normal"/>
        <w:ind w:left="5103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0" w:right="0" w:hanging="0"/>
        <w:jc w:val="center"/>
        <w:rPr>
          <w:rFonts w:ascii="Times New Roman" w:hAnsi="Times New Roman"/>
          <w:b/>
          <w:b/>
          <w:color w:val="000000"/>
          <w:sz w:val="24"/>
          <w:szCs w:val="24"/>
          <w:vertAlign w:val="superscript"/>
        </w:rPr>
      </w:pPr>
      <w:r>
        <w:rPr>
          <w:b/>
          <w:color w:val="000000"/>
          <w:sz w:val="24"/>
          <w:szCs w:val="24"/>
          <w:vertAlign w:val="superscript"/>
        </w:rPr>
      </w:r>
    </w:p>
    <w:p>
      <w:pPr>
        <w:pStyle w:val="ConsPlusNormal"/>
        <w:ind w:left="0" w:right="0" w:hanging="0"/>
        <w:jc w:val="center"/>
        <w:rPr>
          <w:rFonts w:ascii="Times New Roman" w:hAnsi="Times New Roman"/>
          <w:b/>
          <w:b/>
          <w:color w:val="000000"/>
          <w:sz w:val="24"/>
          <w:szCs w:val="24"/>
          <w:vertAlign w:val="superscript"/>
        </w:rPr>
      </w:pPr>
      <w:r>
        <w:rPr>
          <w:b/>
          <w:color w:val="000000"/>
          <w:sz w:val="24"/>
          <w:szCs w:val="24"/>
          <w:vertAlign w:val="superscript"/>
        </w:rPr>
      </w:r>
    </w:p>
    <w:p>
      <w:pPr>
        <w:pStyle w:val="ConsPlusNormal"/>
        <w:ind w:left="0" w:right="0" w:hanging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Ключевые показатели вида контроля и их целевые значения, </w:t>
      </w:r>
    </w:p>
    <w:p>
      <w:pPr>
        <w:pStyle w:val="ConsPlusNormal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индикативные показатели для </w:t>
      </w:r>
      <w:r>
        <w:rPr>
          <w:rFonts w:cs="Times New Roman"/>
          <w:b/>
          <w:sz w:val="24"/>
          <w:szCs w:val="24"/>
        </w:rPr>
        <w:t>муниципального земельного контроля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1. Ключевые показатели и их целевые значения: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Доля устраненных нарушений из числа выявленных нарушений обязательных требований - 70%.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Доля отмененных результатов контрольных мероприятий - 0%.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color w:val="000000"/>
          <w:sz w:val="24"/>
          <w:szCs w:val="24"/>
          <w:shd w:fill="F1C100" w:val="clear"/>
        </w:rPr>
      </w:pPr>
      <w:r>
        <w:rPr>
          <w:rFonts w:cs="Times New Roman"/>
          <w:color w:val="000000"/>
          <w:sz w:val="24"/>
          <w:szCs w:val="24"/>
          <w:shd w:fill="F1C100" w:val="clear"/>
        </w:rPr>
      </w:r>
    </w:p>
    <w:p>
      <w:pPr>
        <w:pStyle w:val="Style25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 Индикативные показатели:</w:t>
      </w:r>
    </w:p>
    <w:p>
      <w:pPr>
        <w:pStyle w:val="Style25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 осуществлении муниципального земельного контроля устанавливаются следующие индикативные показатели:</w:t>
      </w:r>
    </w:p>
    <w:p>
      <w:pPr>
        <w:pStyle w:val="Style25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количество плановых контрольных мероприятий, проведенных за отчетный период;</w:t>
      </w:r>
      <w:r>
        <w:rPr>
          <w:color w:val="FF0000"/>
          <w:sz w:val="24"/>
          <w:szCs w:val="24"/>
        </w:rPr>
        <w:t xml:space="preserve"> </w:t>
      </w:r>
    </w:p>
    <w:p>
      <w:pPr>
        <w:pStyle w:val="Style25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количество внеплановых контрольных мероприятий, проведенных за отчетный период; </w:t>
      </w:r>
    </w:p>
    <w:p>
      <w:pPr>
        <w:pStyle w:val="Style25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>
      <w:pPr>
        <w:pStyle w:val="Style25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общее количество контрольных мероприятий с взаимодействием, проведенных за отчетный период; </w:t>
      </w:r>
    </w:p>
    <w:p>
      <w:pPr>
        <w:pStyle w:val="Style25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>
      <w:pPr>
        <w:pStyle w:val="Style25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>
      <w:pPr>
        <w:pStyle w:val="Style25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>
      <w:pPr>
        <w:pStyle w:val="Style25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>
      <w:pPr>
        <w:pStyle w:val="Style25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>
      <w:pPr>
        <w:pStyle w:val="Style25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>
      <w:pPr>
        <w:pStyle w:val="Style25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количество направленных в органы прокуратуры заявлений</w:t>
        <w:br/>
        <w:t xml:space="preserve"> о согласовании проведения контрольных мероприятий, за отчетный период; </w:t>
      </w:r>
    </w:p>
    <w:p>
      <w:pPr>
        <w:pStyle w:val="Style25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количество направленных в органы прокуратуры заявлений</w:t>
        <w:br/>
        <w:t xml:space="preserve">о согласовании проведения контрольных мероприятий, по которым органами прокуратуры отказано в согласовании, за отчетный период; </w:t>
      </w:r>
    </w:p>
    <w:p>
      <w:pPr>
        <w:pStyle w:val="Style25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общее количество учтенных объектов контроля на конец отчетного периода; </w:t>
      </w:r>
    </w:p>
    <w:p>
      <w:pPr>
        <w:pStyle w:val="Style25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количество учтенных объектов контроля, отнесенных к категориям риска, по каждой из категорий риска, на конец отчетного периода; </w:t>
      </w:r>
    </w:p>
    <w:p>
      <w:pPr>
        <w:pStyle w:val="Style25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количество учтенных контролируемых лиц на конец отчетного периода; </w:t>
      </w:r>
    </w:p>
    <w:p>
      <w:pPr>
        <w:pStyle w:val="Style25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>
      <w:pPr>
        <w:pStyle w:val="Style25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общее количество жалоб, поданных контролируемыми лицами                       в досудебном порядке за отчетный период; </w:t>
      </w:r>
    </w:p>
    <w:p>
      <w:pPr>
        <w:pStyle w:val="Style25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количество жалоб, в отношении которых контрольным органом был нарушен срок рассмотрения, за отчетный период;</w:t>
      </w:r>
      <w:r>
        <w:rPr>
          <w:color w:val="FF0000"/>
          <w:sz w:val="24"/>
          <w:szCs w:val="24"/>
        </w:rPr>
        <w:t xml:space="preserve"> </w:t>
      </w:r>
    </w:p>
    <w:p>
      <w:pPr>
        <w:pStyle w:val="Style25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>
      <w:pPr>
        <w:pStyle w:val="Style25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>
      <w:pPr>
        <w:pStyle w:val="Style25"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bookmarkStart w:id="0" w:name="_GoBack"/>
      <w:bookmarkStart w:id="1" w:name="_GoBack"/>
      <w:bookmarkEnd w:id="1"/>
    </w:p>
    <w:tbl>
      <w:tblPr>
        <w:tblW w:w="3845" w:type="dxa"/>
        <w:jc w:val="left"/>
        <w:tblInd w:w="57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845"/>
      </w:tblGrid>
      <w:tr>
        <w:trPr/>
        <w:tc>
          <w:tcPr>
            <w:tcW w:w="3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8" w:right="629" w:gutter="0" w:header="0" w:top="709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44f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next w:val="Normal"/>
    <w:link w:val="30"/>
    <w:uiPriority w:val="99"/>
    <w:qFormat/>
    <w:locked/>
    <w:rsid w:val="00f0188b"/>
    <w:pPr>
      <w:keepNext w:val="true"/>
      <w:tabs>
        <w:tab w:val="clear" w:pos="708"/>
        <w:tab w:val="left" w:pos="0" w:leader="none"/>
      </w:tabs>
      <w:suppressAutoHyphens w:val="true"/>
      <w:spacing w:lineRule="auto" w:line="240" w:before="0" w:after="0"/>
      <w:outlineLvl w:val="2"/>
    </w:pPr>
    <w:rPr>
      <w:rFonts w:ascii="Times New Roman" w:hAnsi="Times New Roman"/>
      <w:b/>
      <w:sz w:val="12"/>
      <w:szCs w:val="20"/>
      <w:lang w:eastAsia="zh-CN"/>
    </w:rPr>
  </w:style>
  <w:style w:type="paragraph" w:styleId="4">
    <w:name w:val="Heading 4"/>
    <w:basedOn w:val="Normal"/>
    <w:next w:val="Normal"/>
    <w:link w:val="40"/>
    <w:uiPriority w:val="99"/>
    <w:qFormat/>
    <w:locked/>
    <w:rsid w:val="00f0188b"/>
    <w:pPr>
      <w:keepNext w:val="true"/>
      <w:tabs>
        <w:tab w:val="clear" w:pos="708"/>
        <w:tab w:val="left" w:pos="0" w:leader="none"/>
      </w:tabs>
      <w:suppressAutoHyphens w:val="true"/>
      <w:spacing w:lineRule="auto" w:line="240" w:before="0" w:after="0"/>
      <w:jc w:val="center"/>
      <w:outlineLvl w:val="3"/>
    </w:pPr>
    <w:rPr>
      <w:rFonts w:ascii="Times New Roman" w:hAnsi="Times New Roman"/>
      <w:b/>
      <w:sz w:val="36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qFormat/>
    <w:locked/>
    <w:rsid w:val="00943e80"/>
    <w:rPr>
      <w:rFonts w:ascii="Times New Roman" w:hAnsi="Times New Roman"/>
      <w:b/>
      <w:sz w:val="12"/>
      <w:szCs w:val="20"/>
      <w:lang w:eastAsia="zh-CN"/>
    </w:rPr>
  </w:style>
  <w:style w:type="character" w:styleId="41" w:customStyle="1">
    <w:name w:val="Заголовок 4 Знак"/>
    <w:basedOn w:val="DefaultParagraphFont"/>
    <w:link w:val="4"/>
    <w:uiPriority w:val="99"/>
    <w:qFormat/>
    <w:locked/>
    <w:rsid w:val="00943e80"/>
    <w:rPr>
      <w:rFonts w:ascii="Times New Roman" w:hAnsi="Times New Roman"/>
      <w:b/>
      <w:sz w:val="36"/>
      <w:szCs w:val="20"/>
      <w:lang w:eastAsia="zh-CN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locked/>
    <w:rsid w:val="00f156fd"/>
    <w:rPr>
      <w:rFonts w:ascii="Tahoma" w:hAnsi="Tahoma" w:cs="Times New Roman"/>
      <w:sz w:val="16"/>
      <w:lang w:eastAsia="en-US"/>
    </w:rPr>
  </w:style>
  <w:style w:type="character" w:styleId="Style13" w:customStyle="1">
    <w:name w:val="Текст сноски Знак"/>
    <w:basedOn w:val="DefaultParagraphFont"/>
    <w:link w:val="a5"/>
    <w:uiPriority w:val="99"/>
    <w:qFormat/>
    <w:locked/>
    <w:rsid w:val="006717ce"/>
    <w:rPr>
      <w:rFonts w:cs="Times New Roman"/>
      <w:lang w:eastAsia="en-US"/>
    </w:rPr>
  </w:style>
  <w:style w:type="character" w:styleId="Style14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6717ce"/>
    <w:rPr>
      <w:rFonts w:cs="Times New Roman"/>
      <w:vertAlign w:val="superscript"/>
    </w:rPr>
  </w:style>
  <w:style w:type="character" w:styleId="Style15">
    <w:name w:val="Интернет-ссылка"/>
    <w:basedOn w:val="DefaultParagraphFont"/>
    <w:uiPriority w:val="99"/>
    <w:rsid w:val="00f43c2f"/>
    <w:rPr>
      <w:rFonts w:cs="Times New Roman"/>
      <w:color w:val="0000FF"/>
      <w:u w:val="single"/>
    </w:rPr>
  </w:style>
  <w:style w:type="character" w:styleId="Style16" w:customStyle="1">
    <w:name w:val="Верхний колонтитул Знак"/>
    <w:basedOn w:val="DefaultParagraphFont"/>
    <w:link w:val="a9"/>
    <w:uiPriority w:val="99"/>
    <w:semiHidden/>
    <w:qFormat/>
    <w:locked/>
    <w:rsid w:val="00ae37b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qFormat/>
    <w:rsid w:val="002840ac"/>
    <w:rPr>
      <w:rFonts w:cs="Times New Roman"/>
    </w:rPr>
  </w:style>
  <w:style w:type="character" w:styleId="Style17" w:customStyle="1">
    <w:name w:val="Основной текст Знак"/>
    <w:basedOn w:val="DefaultParagraphFont"/>
    <w:link w:val="ac"/>
    <w:uiPriority w:val="99"/>
    <w:semiHidden/>
    <w:qFormat/>
    <w:locked/>
    <w:rsid w:val="00ae37be"/>
    <w:rPr>
      <w:rFonts w:cs="Times New Roman"/>
      <w:lang w:eastAsia="en-US"/>
    </w:rPr>
  </w:style>
  <w:style w:type="character" w:styleId="Style18" w:customStyle="1">
    <w:name w:val="Нижний колонтитул Знак"/>
    <w:basedOn w:val="DefaultParagraphFont"/>
    <w:link w:val="ae"/>
    <w:uiPriority w:val="99"/>
    <w:semiHidden/>
    <w:qFormat/>
    <w:locked/>
    <w:rsid w:val="00ae37be"/>
    <w:rPr>
      <w:rFonts w:cs="Times New Roman"/>
      <w:lang w:eastAsia="en-US"/>
    </w:rPr>
  </w:style>
  <w:style w:type="character" w:styleId="Style19" w:customStyle="1">
    <w:name w:val="Подзаголовок Знак"/>
    <w:basedOn w:val="DefaultParagraphFont"/>
    <w:link w:val="af0"/>
    <w:uiPriority w:val="99"/>
    <w:qFormat/>
    <w:locked/>
    <w:rsid w:val="00cc52b6"/>
    <w:rPr>
      <w:rFonts w:ascii="Times New Roman" w:hAnsi="Times New Roman" w:cs="Times New Roman"/>
      <w:b/>
      <w:sz w:val="44"/>
    </w:rPr>
  </w:style>
  <w:style w:type="character" w:styleId="Style20" w:customStyle="1">
    <w:name w:val="Название Знак"/>
    <w:basedOn w:val="DefaultParagraphFont"/>
    <w:link w:val="af2"/>
    <w:uiPriority w:val="99"/>
    <w:qFormat/>
    <w:locked/>
    <w:rsid w:val="00cc52b6"/>
    <w:rPr>
      <w:rFonts w:ascii="Times New Roman" w:hAnsi="Times New Roman" w:cs="Times New Roman"/>
      <w:sz w:val="24"/>
      <w:szCs w:val="24"/>
    </w:rPr>
  </w:style>
  <w:style w:type="character" w:styleId="Style21">
    <w:name w:val="Символ сноски"/>
    <w:qFormat/>
    <w:rPr/>
  </w:style>
  <w:style w:type="character" w:styleId="Style22">
    <w:name w:val="Привязка концевой сноски"/>
    <w:rPr>
      <w:vertAlign w:val="superscript"/>
    </w:rPr>
  </w:style>
  <w:style w:type="character" w:styleId="Style23">
    <w:name w:val="Символ концевой сноски"/>
    <w:qFormat/>
    <w:rPr/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5">
    <w:name w:val="Body Text"/>
    <w:basedOn w:val="Normal"/>
    <w:link w:val="ad"/>
    <w:uiPriority w:val="99"/>
    <w:rsid w:val="00c839d7"/>
    <w:pPr>
      <w:widowControl w:val="false"/>
      <w:shd w:val="clear" w:color="auto" w:fill="FFFFFF"/>
      <w:spacing w:lineRule="atLeast" w:line="240" w:before="240" w:after="360"/>
      <w:jc w:val="both"/>
    </w:pPr>
    <w:rPr>
      <w:rFonts w:ascii="Times New Roman" w:hAnsi="Times New Roman"/>
      <w:sz w:val="26"/>
      <w:szCs w:val="26"/>
      <w:lang w:eastAsia="ru-RU"/>
    </w:rPr>
  </w:style>
  <w:style w:type="paragraph" w:styleId="Style26">
    <w:name w:val="List"/>
    <w:basedOn w:val="Style25"/>
    <w:pPr>
      <w:shd w:val="clear" w:fill="FFFFFF"/>
    </w:pPr>
    <w:rPr>
      <w:rFonts w:cs="Mang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qFormat/>
    <w:rsid w:val="00f156fd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Style29">
    <w:name w:val="Footnote Text"/>
    <w:basedOn w:val="Normal"/>
    <w:link w:val="a6"/>
    <w:uiPriority w:val="99"/>
    <w:rsid w:val="006717ce"/>
    <w:pPr/>
    <w:rPr>
      <w:sz w:val="20"/>
      <w:szCs w:val="20"/>
    </w:rPr>
  </w:style>
  <w:style w:type="paragraph" w:styleId="ConsPlusNormal" w:customStyle="1">
    <w:name w:val="ConsPlusNormal"/>
    <w:uiPriority w:val="99"/>
    <w:qFormat/>
    <w:rsid w:val="0083414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ConsPlusTitle" w:customStyle="1">
    <w:name w:val="ConsPlusTitle"/>
    <w:uiPriority w:val="99"/>
    <w:qFormat/>
    <w:rsid w:val="00722f5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ru-RU" w:eastAsia="ru-RU" w:bidi="ar-SA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Колонтитул"/>
    <w:basedOn w:val="Normal"/>
    <w:qFormat/>
    <w:pPr/>
    <w:rPr/>
  </w:style>
  <w:style w:type="paragraph" w:styleId="Style32">
    <w:name w:val="Header"/>
    <w:basedOn w:val="Normal"/>
    <w:link w:val="aa"/>
    <w:uiPriority w:val="99"/>
    <w:rsid w:val="002840a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3">
    <w:name w:val="Footer"/>
    <w:basedOn w:val="Normal"/>
    <w:link w:val="af"/>
    <w:uiPriority w:val="99"/>
    <w:rsid w:val="009068d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4">
    <w:name w:val="Subtitle"/>
    <w:basedOn w:val="Normal"/>
    <w:link w:val="af1"/>
    <w:uiPriority w:val="99"/>
    <w:qFormat/>
    <w:rsid w:val="00cc52b6"/>
    <w:pPr>
      <w:spacing w:lineRule="auto" w:line="240" w:before="0" w:after="0"/>
      <w:jc w:val="center"/>
    </w:pPr>
    <w:rPr>
      <w:rFonts w:ascii="Times New Roman" w:hAnsi="Times New Roman" w:eastAsia="Times New Roman"/>
      <w:b/>
      <w:sz w:val="44"/>
      <w:szCs w:val="20"/>
      <w:lang w:eastAsia="ru-RU"/>
    </w:rPr>
  </w:style>
  <w:style w:type="paragraph" w:styleId="Style35">
    <w:name w:val="Title"/>
    <w:basedOn w:val="Normal"/>
    <w:link w:val="af3"/>
    <w:uiPriority w:val="99"/>
    <w:qFormat/>
    <w:rsid w:val="00cc52b6"/>
    <w:pPr>
      <w:spacing w:lineRule="auto" w:line="240" w:before="0" w:after="0"/>
      <w:jc w:val="center"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Standard" w:customStyle="1">
    <w:name w:val="Standard"/>
    <w:uiPriority w:val="99"/>
    <w:qFormat/>
    <w:rsid w:val="00cc52b6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ahoma"/>
      <w:color w:val="auto"/>
      <w:kern w:val="2"/>
      <w:sz w:val="24"/>
      <w:szCs w:val="24"/>
      <w:lang w:val="de-DE" w:eastAsia="ja-JP" w:bidi="fa-IR"/>
    </w:rPr>
  </w:style>
  <w:style w:type="paragraph" w:styleId="ListParagraph">
    <w:name w:val="List Paragraph"/>
    <w:basedOn w:val="Normal"/>
    <w:uiPriority w:val="99"/>
    <w:qFormat/>
    <w:rsid w:val="00d0398b"/>
    <w:pPr>
      <w:spacing w:before="0" w:after="200"/>
      <w:ind w:left="720" w:hanging="0"/>
      <w:contextualSpacing/>
    </w:pPr>
    <w:rPr/>
  </w:style>
  <w:style w:type="paragraph" w:styleId="Style36">
    <w:name w:val="Содержимое врезки"/>
    <w:basedOn w:val="Normal"/>
    <w:qFormat/>
    <w:pPr/>
    <w:rPr/>
  </w:style>
  <w:style w:type="paragraph" w:styleId="21">
    <w:name w:val="Заголовок 21"/>
    <w:basedOn w:val="Standard"/>
    <w:next w:val="Standard"/>
    <w:qFormat/>
    <w:pPr>
      <w:keepNext w:val="true"/>
      <w:jc w:val="center"/>
    </w:pPr>
    <w:rPr>
      <w:rFonts w:cs="Times New Roman"/>
      <w:b/>
      <w:szCs w:val="28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211">
    <w:name w:val="Основной текст 21"/>
    <w:basedOn w:val="Normal"/>
    <w:qFormat/>
    <w:pPr>
      <w:jc w:val="both"/>
    </w:pPr>
    <w:rPr>
      <w:szCs w:val="20"/>
    </w:rPr>
  </w:style>
  <w:style w:type="paragraph" w:styleId="2">
    <w:name w:val="Основной текст 2"/>
    <w:basedOn w:val="Normal"/>
    <w:qFormat/>
    <w:pPr>
      <w:jc w:val="both"/>
    </w:pPr>
    <w:rPr>
      <w:szCs w:val="20"/>
    </w:rPr>
  </w:style>
  <w:style w:type="paragraph" w:styleId="Style37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0f17b0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Application>LibreOffice/7.2.2.2$Windows_x86 LibreOffice_project/02b2acce88a210515b4a5bb2e46cbfb63fe97d56</Application>
  <AppVersion>15.0000</AppVersion>
  <Pages>5</Pages>
  <Words>821</Words>
  <Characters>5980</Characters>
  <CharactersWithSpaces>6896</CharactersWithSpaces>
  <Paragraphs>61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2016-08-30T01:54:00Z</dcterms:created>
  <dc:creator>Богатенко Ирина Геннадиевна</dc:creator>
  <dc:description/>
  <dc:language>ru-RU</dc:language>
  <cp:lastModifiedBy/>
  <dcterms:modified xsi:type="dcterms:W3CDTF">2022-02-02T11:42:40Z</dcterms:modified>
  <cp:revision>28</cp:revision>
  <dc:subject/>
  <dc:title>Утвержден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