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hd w:val="clear" w:color="auto" w:fill="FFFFFF"/>
        <w:spacing w:lineRule="auto" w:line="216" w:before="0" w:after="0"/>
        <w:ind w:hanging="0" w:right="11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Соглашение </w:t>
      </w:r>
    </w:p>
    <w:p>
      <w:pPr>
        <w:pStyle w:val="Normal"/>
        <w:widowControl w:val="false"/>
        <w:shd w:val="clear" w:color="auto" w:fill="FFFFFF"/>
        <w:spacing w:lineRule="auto" w:line="216" w:before="0" w:after="0"/>
        <w:ind w:hanging="0" w:right="11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о предоставлении в 202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4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году иных межбюджетных трансфертов бюджету Жирновского городского поселения Жирновского муниципального района Волгоградской области на 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ru-RU" w:eastAsia="ru-RU" w:bidi="ar-SA"/>
        </w:rPr>
        <w:t>текущее содержание специальной дорожной техники</w:t>
      </w:r>
    </w:p>
    <w:p>
      <w:pPr>
        <w:pStyle w:val="Normal"/>
        <w:widowControl w:val="false"/>
        <w:shd w:val="clear" w:color="auto" w:fill="FFFFFF"/>
        <w:spacing w:lineRule="auto" w:line="216" w:before="0" w:after="0"/>
        <w:ind w:hanging="0" w:right="11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16" w:before="0" w:after="0"/>
        <w:ind w:hanging="0" w:right="11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г. Жирновск</w:t>
      </w:r>
    </w:p>
    <w:p>
      <w:pPr>
        <w:pStyle w:val="ConsPlusNonformat"/>
        <w:ind w:hanging="0" w:right="1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"       "                  202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4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г.  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№   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</w:rPr>
        <w:t>(дата заключения соглашения)                                                                                                  (номер соглашения)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Жирновского муниципального района Волгоградской области, в лице первого заместителя главы администрации Жирновского муниципального района Мармуры Петра Николаевича, действующего на основании постановления главы Жирновского муниципального района Волгоградской области от </w:t>
      </w:r>
      <w:r>
        <w:rPr>
          <w:sz w:val="24"/>
          <w:szCs w:val="24"/>
        </w:rPr>
        <w:t>03</w:t>
      </w:r>
      <w:r>
        <w:rPr>
          <w:sz w:val="24"/>
          <w:szCs w:val="24"/>
        </w:rPr>
        <w:t>.</w:t>
      </w:r>
      <w:r>
        <w:rPr>
          <w:sz w:val="24"/>
          <w:szCs w:val="24"/>
        </w:rPr>
        <w:t>10</w:t>
      </w:r>
      <w:r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110</w:t>
      </w:r>
      <w:r>
        <w:rPr>
          <w:sz w:val="24"/>
          <w:szCs w:val="24"/>
        </w:rPr>
        <w:t xml:space="preserve"> «О распределении обязанностей между главой Жирновского муниципального района, первым заместителем главы администрации Жирновского муниципального района, заместителем главы администрации Жирновского муниципального района и управляющим делами, начальником отдела по общим, организационным вопросам и взаимодействию со СМИ администрации Жирновскорго муниципального района» (далее-Главный распорядитель бюджетных средств) с одной стороны,  и Администрация Жирновского муниципального района Волгоградской области, в рамках исполнения полномочий исполнительно-распорядительного органа Жирновского городского поселения Жирновского муниципального района Волгоградской области, в лице главы Жирновского муниципального района Шевченко Александра Фёдоровича, действующего на основании ст. 21.1 Устава Жирновского муниципального района, ст. 23 Устава городского поселения Жирновское (далее-Получатель), </w:t>
      </w:r>
      <w:r>
        <w:rPr>
          <w:color w:val="000000"/>
          <w:sz w:val="24"/>
          <w:szCs w:val="24"/>
        </w:rPr>
        <w:t xml:space="preserve">в соответствии с Бюджетным </w:t>
      </w:r>
      <w:hyperlink r:id="rId2">
        <w:r>
          <w:rPr>
            <w:color w:val="000000"/>
            <w:sz w:val="24"/>
            <w:szCs w:val="24"/>
          </w:rPr>
          <w:t>кодексом</w:t>
        </w:r>
      </w:hyperlink>
      <w:r>
        <w:rPr>
          <w:color w:val="000000"/>
          <w:sz w:val="24"/>
          <w:szCs w:val="24"/>
        </w:rPr>
        <w:t xml:space="preserve"> Российской Федерации, Порядком предоставления и распределения субсидий бюджетам муниципальных образований на реализацию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мероприятий в сфере дорожной деятельности</w:t>
      </w:r>
      <w:r>
        <w:rPr>
          <w:color w:val="000000"/>
          <w:sz w:val="24"/>
          <w:szCs w:val="24"/>
        </w:rPr>
        <w:t>, утвержденным постановлением Администрации Волгоградской области от "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25</w:t>
      </w:r>
      <w:r>
        <w:rPr>
          <w:color w:val="000000"/>
          <w:sz w:val="24"/>
          <w:szCs w:val="24"/>
        </w:rPr>
        <w:t xml:space="preserve">"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февраля </w:t>
      </w:r>
      <w:r>
        <w:rPr>
          <w:color w:val="000000"/>
          <w:sz w:val="24"/>
          <w:szCs w:val="24"/>
        </w:rPr>
        <w:t>202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0</w:t>
      </w:r>
      <w:r>
        <w:rPr>
          <w:color w:val="000000"/>
          <w:sz w:val="24"/>
          <w:szCs w:val="24"/>
        </w:rPr>
        <w:t xml:space="preserve"> г. №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111</w:t>
      </w:r>
      <w:r>
        <w:rPr>
          <w:color w:val="000000"/>
          <w:sz w:val="24"/>
          <w:szCs w:val="24"/>
        </w:rPr>
        <w:t>-п (далее – П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орядок</w:t>
      </w:r>
      <w:r>
        <w:rPr>
          <w:color w:val="000000"/>
          <w:sz w:val="24"/>
          <w:szCs w:val="24"/>
        </w:rPr>
        <w:t xml:space="preserve"> предоставления субсидии),</w:t>
      </w:r>
      <w:r>
        <w:rPr>
          <w:sz w:val="24"/>
          <w:szCs w:val="24"/>
        </w:rPr>
        <w:t xml:space="preserve"> постановлением администрации Жирновского муниципального района Волгоградской области </w:t>
      </w:r>
      <w:r>
        <w:rPr>
          <w:sz w:val="24"/>
          <w:szCs w:val="24"/>
          <w:shd w:fill="FFFFFF" w:val="clear"/>
        </w:rPr>
        <w:t>о</w:t>
      </w:r>
      <w:r>
        <w:rPr>
          <w:sz w:val="24"/>
          <w:szCs w:val="24"/>
        </w:rPr>
        <w:t xml:space="preserve">т  </w:t>
      </w:r>
      <w:r>
        <w:rPr>
          <w:sz w:val="24"/>
          <w:szCs w:val="24"/>
        </w:rPr>
        <w:t>04</w:t>
      </w:r>
      <w:r>
        <w:rPr>
          <w:sz w:val="24"/>
          <w:szCs w:val="24"/>
          <w:shd w:fill="FFFFFF" w:val="clear"/>
        </w:rPr>
        <w:t>.03.202</w:t>
      </w:r>
      <w:r>
        <w:rPr>
          <w:sz w:val="24"/>
          <w:szCs w:val="24"/>
          <w:shd w:fill="FFFFFF" w:val="clear"/>
        </w:rPr>
        <w:t>4</w:t>
      </w:r>
      <w:r>
        <w:rPr>
          <w:sz w:val="24"/>
          <w:szCs w:val="24"/>
          <w:shd w:fill="FFFFFF" w:val="clear"/>
        </w:rPr>
        <w:t xml:space="preserve"> № 3</w:t>
      </w:r>
      <w:r>
        <w:rPr>
          <w:sz w:val="24"/>
          <w:szCs w:val="24"/>
          <w:shd w:fill="FFFFFF" w:val="clear"/>
        </w:rPr>
        <w:t>19</w:t>
      </w:r>
      <w:r>
        <w:rPr>
          <w:sz w:val="24"/>
          <w:szCs w:val="24"/>
        </w:rPr>
        <w:t xml:space="preserve">   </w:t>
      </w:r>
      <w:r>
        <w:rPr>
          <w:rFonts w:eastAsia="Times New Roman" w:cs="Times New Roman"/>
          <w:sz w:val="24"/>
          <w:szCs w:val="24"/>
          <w:lang w:val="ru-RU" w:eastAsia="ru-RU"/>
        </w:rPr>
        <w:t>«</w:t>
      </w:r>
      <w:r>
        <w:rPr>
          <w:sz w:val="24"/>
          <w:szCs w:val="24"/>
        </w:rPr>
        <w:t>О предоставлении в 202</w:t>
      </w:r>
      <w:r>
        <w:rPr>
          <w:rFonts w:eastAsia="Times New Roman" w:cs="Times New Roman"/>
          <w:sz w:val="24"/>
          <w:szCs w:val="24"/>
          <w:lang w:eastAsia="ru-RU"/>
        </w:rPr>
        <w:t>4</w:t>
      </w:r>
      <w:r>
        <w:rPr>
          <w:sz w:val="24"/>
          <w:szCs w:val="24"/>
        </w:rPr>
        <w:t xml:space="preserve"> году иных межбюджетных трансфертов бюджетам поселений Жирновского муниципального района Волгоградской области на </w:t>
      </w:r>
      <w:r>
        <w:rPr>
          <w:rFonts w:eastAsia="Times New Roman" w:cs="Times New Roman"/>
          <w:sz w:val="24"/>
          <w:szCs w:val="24"/>
          <w:lang w:eastAsia="ru-RU"/>
        </w:rPr>
        <w:t>текущее содержание специальной дорожной техники</w:t>
      </w:r>
      <w:r>
        <w:rPr>
          <w:sz w:val="24"/>
          <w:szCs w:val="24"/>
        </w:rPr>
        <w:t>» заключили настоящее Соглашение о нижеследующем.</w:t>
      </w:r>
    </w:p>
    <w:p>
      <w:pPr>
        <w:pStyle w:val="ConsPlusNormal"/>
        <w:numPr>
          <w:ilvl w:val="0"/>
          <w:numId w:val="0"/>
        </w:numPr>
        <w:ind w:firstLine="709" w:left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hanging="0" w:left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I. Предмет Соглашения</w:t>
      </w:r>
    </w:p>
    <w:p>
      <w:pPr>
        <w:pStyle w:val="ConsPlusNormal"/>
        <w:ind w:firstLine="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 Предметом настоящего Соглашения является предоставление из бюджета Жирновского муниципального района Волгоградской области в 202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</w:t>
      </w:r>
      <w:r>
        <w:rPr>
          <w:rFonts w:cs="Times New Roman" w:ascii="Times New Roman" w:hAnsi="Times New Roman"/>
          <w:sz w:val="24"/>
          <w:szCs w:val="24"/>
        </w:rPr>
        <w:t xml:space="preserve"> году бюджету Жирновского городского поселения Жирновского муниципального района Волгоградской области иных межбюджетных трансфертов на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текущее содержание специальной дорожной техники</w:t>
      </w:r>
      <w:r>
        <w:rPr>
          <w:rFonts w:cs="Times New Roman" w:ascii="Times New Roman" w:hAnsi="Times New Roman"/>
          <w:sz w:val="24"/>
          <w:szCs w:val="24"/>
        </w:rPr>
        <w:t xml:space="preserve"> (далее – иные межбюджетные трансферты).</w:t>
      </w:r>
    </w:p>
    <w:p>
      <w:pPr>
        <w:pStyle w:val="ConsPlusNormal"/>
        <w:ind w:firstLine="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1.2. Главным распорядителем бюджетных средств, направляемых на выплату иных межбюджетных трансфертов, является администрации Жирновского муниципального района Волгоградской области.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4"/>
      <w:bookmarkStart w:id="1" w:name="P169"/>
      <w:bookmarkEnd w:id="0"/>
      <w:bookmarkEnd w:id="1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</w:p>
    <w:p>
      <w:pPr>
        <w:pStyle w:val="ConsPlusNormal"/>
        <w:numPr>
          <w:ilvl w:val="0"/>
          <w:numId w:val="0"/>
        </w:numPr>
        <w:ind w:hanging="0" w:left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II. Порядок, условия предоставления и сроки</w:t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>перечисления иных межбюджетных трансфертов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      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3.1. Иные межбюджетные трансферты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sz w:val="24"/>
          <w:szCs w:val="24"/>
          <w:u w:val="none"/>
        </w:rPr>
        <w:t xml:space="preserve">предоставляются  в объеме 300 000 (триста тысяч) рублей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color w:val="auto"/>
          <w:sz w:val="24"/>
          <w:szCs w:val="24"/>
          <w:u w:val="none"/>
          <w:lang w:val="ru-RU" w:bidi="ar-SA"/>
        </w:rPr>
        <w:t>за счет средств субсидии из областного бюджета бюджету Жирновского муниципального района на реализацию мероприятий в сфере дорожной деятельности.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24"/>
      <w:bookmarkEnd w:id="2"/>
      <w:r>
        <w:rPr>
          <w:rFonts w:cs="Times New Roman" w:ascii="Times New Roman" w:hAnsi="Times New Roman"/>
          <w:sz w:val="24"/>
          <w:szCs w:val="24"/>
        </w:rPr>
        <w:t>3.2. Иные межбюджетные трансферты предоставляются при выполнении следующих условий: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25"/>
      <w:bookmarkEnd w:id="3"/>
      <w:r>
        <w:rPr>
          <w:rFonts w:cs="Times New Roman" w:ascii="Times New Roman" w:hAnsi="Times New Roman"/>
          <w:sz w:val="24"/>
          <w:szCs w:val="24"/>
        </w:rPr>
        <w:t xml:space="preserve">а)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sz w:val="24"/>
          <w:szCs w:val="24"/>
          <w:u w:val="none"/>
        </w:rPr>
        <w:t xml:space="preserve">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отсутствие у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sz w:val="24"/>
          <w:szCs w:val="24"/>
          <w:u w:val="none"/>
        </w:rPr>
        <w:t xml:space="preserve">поселения Жирновского муниципального района  Волгоградской области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обязательств по перечислению в бюджет Жирновского муниципального района Волгоградской области иных межбюджетных трансфертов;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sz w:val="24"/>
          <w:szCs w:val="24"/>
          <w:u w:val="none"/>
          <w:lang w:eastAsia="ru-RU"/>
        </w:rPr>
        <w:t>б) наличие у поселения Жирновского муниципального района  Волгоградской области специальной дорожной техники, приобретенной не ранее 01 января 202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color w:val="auto"/>
          <w:sz w:val="24"/>
          <w:szCs w:val="24"/>
          <w:u w:val="none"/>
          <w:lang w:val="ru-RU" w:eastAsia="ru-RU" w:bidi="ar-SA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sz w:val="24"/>
          <w:szCs w:val="24"/>
          <w:u w:val="none"/>
          <w:lang w:eastAsia="ru-RU"/>
        </w:rPr>
        <w:t xml:space="preserve"> г. 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sz w:val="24"/>
          <w:szCs w:val="24"/>
          <w:u w:val="none"/>
          <w:shd w:fill="auto" w:val="clear"/>
          <w:lang w:eastAsia="ru-RU"/>
        </w:rPr>
        <w:t xml:space="preserve"> счет средств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color w:val="auto"/>
          <w:sz w:val="24"/>
          <w:szCs w:val="24"/>
          <w:u w:val="none"/>
          <w:lang w:val="ru-RU" w:eastAsia="ru-RU" w:bidi="ar-SA"/>
        </w:rPr>
        <w:t>убсидии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sz w:val="24"/>
          <w:szCs w:val="24"/>
          <w:u w:val="none"/>
          <w:lang w:eastAsia="ru-RU"/>
        </w:rPr>
        <w:t xml:space="preserve"> из областного бюджета.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42"/>
      <w:bookmarkEnd w:id="4"/>
      <w:r>
        <w:rPr>
          <w:rFonts w:cs="Times New Roman" w:ascii="Times New Roman" w:hAnsi="Times New Roman"/>
          <w:sz w:val="24"/>
          <w:szCs w:val="24"/>
        </w:rPr>
        <w:t>3.3. Перечисление иных межбюджетных трансфертов из бюджета Жирновского муниципального района Волгоградской области в бюджет Жирновского городского поселения Жирновского муниципального района Волгоградской области осуществляется на счет, открытый Управлению Федерального казначейства по Волгоградской области (далее – Федеральное казначейство) в учреждении Центрального банка Российской Федерации для учета операций со средствами местных бюджетов.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30"/>
      <w:bookmarkEnd w:id="5"/>
      <w:r>
        <w:rPr>
          <w:rFonts w:cs="Times New Roman" w:ascii="Times New Roman" w:hAnsi="Times New Roman"/>
          <w:sz w:val="24"/>
          <w:szCs w:val="24"/>
        </w:rPr>
        <w:t xml:space="preserve">3.4.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ru-RU" w:eastAsia="zh-CN" w:bidi="ar-SA"/>
        </w:rPr>
        <w:t>Перечисление иных межбюджетных трансфертов осуществляется в течение текущего финансового года.</w:t>
      </w:r>
    </w:p>
    <w:p>
      <w:pPr>
        <w:pStyle w:val="ConsPlusNormal"/>
        <w:numPr>
          <w:ilvl w:val="0"/>
          <w:numId w:val="0"/>
        </w:numPr>
        <w:ind w:hanging="0" w:left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IV. Взаимодействие Сторон</w:t>
      </w:r>
    </w:p>
    <w:p>
      <w:pPr>
        <w:pStyle w:val="ConsPlusNormal"/>
        <w:numPr>
          <w:ilvl w:val="0"/>
          <w:numId w:val="0"/>
        </w:numPr>
        <w:ind w:hanging="0" w:left="0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4.1. Главный распорядитель бюджетных средств обязуется:</w:t>
      </w:r>
    </w:p>
    <w:p>
      <w:pPr>
        <w:pStyle w:val="ConsPlusNormal"/>
        <w:numPr>
          <w:ilvl w:val="0"/>
          <w:numId w:val="0"/>
        </w:numPr>
        <w:ind w:hanging="0" w:left="0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rmal"/>
        <w:numPr>
          <w:ilvl w:val="0"/>
          <w:numId w:val="0"/>
        </w:numPr>
        <w:ind w:hanging="0"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4.1.1. Обеспечить предоставление иных межбюджетных трансфертов бюджету Жирновского городского поселения Жирновского муниципального района Волгоградской области в порядке и при соблюдении Получателем условий предоставления иных межбюджетных трансфертов, установленных настоящим Соглашением.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4.1.2. Осуществлять контроль за соблюдением Получателем условий предоставления иных межбюджетных трансфертов и других обязательств, предусмотренных настоящим Соглашением.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. Обеспечивать заключение дополнительного соглашения о внесении изменений в настоящее Соглашение не позднее 5 рабочих дней со дня поступления в администрацию Жирновского муниципального района Волгоградской области от Получателя информации о необходимости внесения изменений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настоящее Соглашение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</w:t>
      </w:r>
      <w:r>
        <w:rPr>
          <w:rFonts w:cs="Times New Roman" w:ascii="Times New Roman" w:hAnsi="Times New Roman"/>
          <w:sz w:val="24"/>
          <w:szCs w:val="24"/>
        </w:rPr>
        <w:t>. В случае приостановления предоставления иных межбюджетных трансфертов информировать Получателя о причинах такого приостановления.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</w:t>
      </w:r>
      <w:r>
        <w:rPr>
          <w:rFonts w:cs="Times New Roman" w:ascii="Times New Roman" w:hAnsi="Times New Roman"/>
          <w:sz w:val="24"/>
          <w:szCs w:val="24"/>
        </w:rPr>
        <w:t>. Выполнять иные обязательства, установленные бюджетным законодательством Российской Федерации и настоящим Соглашением.</w:t>
      </w:r>
    </w:p>
    <w:p>
      <w:pPr>
        <w:pStyle w:val="ConsPlusNonformat"/>
        <w:spacing w:before="20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 Главный распорядитель бюджетных средств вправе:</w:t>
      </w:r>
    </w:p>
    <w:p>
      <w:pPr>
        <w:pStyle w:val="ConsPlusNonformat"/>
        <w:spacing w:before="20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4.2.1. Запрашивать у Получателя документы и материалы, необходимые для осуществления контроля за соблюдением Получателем условий предоставления иных межбюджетных трансфертов и других обязательств, предусмотренных соглашением, в том числе данные бухгалтерского учета и первичную документацию, связанные с исполнением Получателем условий предоставления иных межбюджетных трансфертов.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4.2.2. Осуществлять иные права, установленные бюджетным законодательством Российской Федерации и настоящим Соглашением:</w:t>
      </w:r>
    </w:p>
    <w:p>
      <w:pPr>
        <w:pStyle w:val="ConsPlusNormal"/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 Получатель обязуется:</w:t>
      </w:r>
    </w:p>
    <w:p>
      <w:pPr>
        <w:pStyle w:val="ConsPlusNormal"/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4.3.1. Обеспечивать выполнение условий предоставления иных межбюджетных трансфертов, установленных </w:t>
      </w:r>
      <w:hyperlink w:anchor="P224">
        <w:r>
          <w:rPr>
            <w:rFonts w:cs="Times New Roman" w:ascii="Times New Roman" w:hAnsi="Times New Roman"/>
            <w:sz w:val="24"/>
            <w:szCs w:val="24"/>
          </w:rPr>
          <w:t>пунктом 3.2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настоящего Соглашения.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92"/>
      <w:bookmarkStart w:id="7" w:name="P387"/>
      <w:bookmarkEnd w:id="6"/>
      <w:bookmarkEnd w:id="7"/>
      <w:r>
        <w:rPr>
          <w:rFonts w:cs="Times New Roman" w:ascii="Times New Roman" w:hAnsi="Times New Roman"/>
          <w:sz w:val="24"/>
          <w:szCs w:val="24"/>
        </w:rPr>
        <w:t>4.3.2. Обеспечивать представление Главному распорядителю бюджетных средств отчета: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о целевом использовании иных межбюджетных трансфертов бюджетам поселений на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текущее содержание специальной дорожной техники согласно приложению 1 к настоящему Соглашению.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25"/>
      <w:bookmarkEnd w:id="8"/>
      <w:r>
        <w:rPr>
          <w:rFonts w:cs="Times New Roman" w:ascii="Times New Roman" w:hAnsi="Times New Roman"/>
          <w:sz w:val="24"/>
          <w:szCs w:val="24"/>
        </w:rPr>
        <w:t>4.3.3. В случае получения запроса обеспечивать представление Главному распорядителю бюджетных средств документов и материалов, необходимых для осуществления контроля за соблюдением Получателем условий предоставления иных межбюджетных трансфертов и других обязательств, предусмотренных соглашением, в том числе данных бухгалтерского учета и первичной документации, связанных с использованием средств иных межбюджетных трансфертов.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4.3.4. Возвратить в бюджет Жирновского муниципального района Волгоградской области не использованный по состоянию на 1 января финансового года, следующего за отчетным, остаток средств иных межбюджетных трансфертов в сроки, установленные бюджетным законодательством Российской Федерации.</w:t>
      </w:r>
    </w:p>
    <w:p>
      <w:pPr>
        <w:pStyle w:val="ConsPlusNormal"/>
        <w:spacing w:before="2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4.4. Получатель вправе:</w:t>
      </w:r>
    </w:p>
    <w:p>
      <w:pPr>
        <w:pStyle w:val="ConsPlusNonformat"/>
        <w:spacing w:before="20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4.4.1. Обращаться к Главному распорядителю бюджетных средств за разъяснениями в связи с исполнением настоящего Соглашения.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4.4.2. Осуществлять иные права, установленные бюджетным законодательством Российской Федерации, Правилами предоставления субсидии и настоящим Соглашением: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V. Ответственность Сторон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5.2. В случае если не использованный по состоянию на 1 января финансового года, следующего за отчетным, остаток иных межбюджетных трансфертов не перечислен в доход бюджета Жирновского муниципального района Волгоградской области, указанные средства подлежат взысканию в доход бюджета Жирновского муниципального района Волгоградской области в порядке, установленном финансовым органом Жирновского муниципального района Волгоградской области.</w:t>
      </w:r>
    </w:p>
    <w:p>
      <w:pPr>
        <w:pStyle w:val="ConsPlusNormal"/>
        <w:numPr>
          <w:ilvl w:val="0"/>
          <w:numId w:val="0"/>
        </w:numPr>
        <w:ind w:hanging="0" w:left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hanging="0" w:left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461"/>
      <w:bookmarkEnd w:id="9"/>
      <w:r>
        <w:rPr>
          <w:rFonts w:cs="Times New Roman" w:ascii="Times New Roman" w:hAnsi="Times New Roman"/>
          <w:sz w:val="24"/>
          <w:szCs w:val="24"/>
        </w:rPr>
        <w:t>VI. Заключительные положения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</w:t>
      </w:r>
      <w:r>
        <w:rPr>
          <w:rFonts w:cs="Times New Roman" w:ascii="Times New Roman" w:hAnsi="Times New Roman"/>
          <w:sz w:val="24"/>
          <w:szCs w:val="24"/>
        </w:rPr>
        <w:t>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недостижении согласия споры между Сторонами решаются в судебном порядке.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</w:t>
      </w:r>
      <w:r>
        <w:rPr>
          <w:rFonts w:cs="Times New Roman" w:ascii="Times New Roman" w:hAnsi="Times New Roman"/>
          <w:sz w:val="24"/>
          <w:szCs w:val="24"/>
        </w:rPr>
        <w:t>.2. Настоящее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заключения нового соглашения по предмету настоящего Соглашения обязательства сторон по настоящему Соглашению прекращаются.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6.3. Изменение настоящего Соглашения осуществляется по инициативе Сторон и оформляется в виде дополнительного соглашения к настоящему Соглашению, которое является его неотъемлемой частью. Подписанное Сторонами дополнительное соглашение вступает в силу с даты его подписания лицами, имеющими право действовать от имени каждой из Сторон.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6.4. Расторжение настоящего Соглашения возможно при взаимном согласии Сторон.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6.5. Соглашение составлено в двух экземплярах, имеющих равную юридическую силу, по одному экземпляру для каждой стороны Соглашения.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VIII. Платежные реквизиты Сторон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433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7"/>
        <w:gridCol w:w="4685"/>
      </w:tblGrid>
      <w:tr>
        <w:trPr>
          <w:trHeight w:val="236" w:hRule="atLeast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val="en-US"/>
              </w:rPr>
              <w:t>Главный распорядитель бюджетных средств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val="en-US"/>
              </w:rPr>
              <w:t>Получатель</w:t>
            </w:r>
          </w:p>
        </w:tc>
      </w:tr>
      <w:tr>
        <w:trPr>
          <w:trHeight w:val="719" w:hRule="atLeast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Администрация Жирновского муниципального района Волгоградской области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Администрация 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83" w:hRule="atLeast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Место нахождения:</w:t>
            </w:r>
            <w:r>
              <w:rPr>
                <w:rFonts w:cs="Times New Roman" w:ascii="Times New Roman" w:hAnsi="Times New Roman"/>
              </w:rPr>
              <w:t xml:space="preserve"> ул.З.Космодемьянской, д.1, г.Жирновск, 403791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Место нахождения: 403791, Волгоградская обл., г.Жирновск, ул.Зои Космодемьянской, д.1</w:t>
            </w:r>
          </w:p>
        </w:tc>
      </w:tr>
      <w:tr>
        <w:trPr>
          <w:trHeight w:val="213" w:hRule="atLeast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Банковские реквизиты: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Банковские реквизиты:</w:t>
            </w:r>
          </w:p>
        </w:tc>
      </w:tr>
      <w:tr>
        <w:trPr>
          <w:trHeight w:val="3026" w:hRule="atLeast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ОТДЕЛЕНИЕ ВОЛГОГРАД БАНКА РОССИИ//УФК по Волгоградской области г.Волгоград</w:t>
            </w:r>
          </w:p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БИК 011806101</w:t>
            </w:r>
          </w:p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Казначейский счет 03231643186120002900</w:t>
            </w:r>
          </w:p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Единый казначейский счет 40102810445370000021</w:t>
            </w:r>
          </w:p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Лицевой счет 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</w:rPr>
              <w:t>03293019280</w:t>
            </w:r>
          </w:p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РАЙФО</w:t>
            </w:r>
          </w:p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(Администрация Жирновского муниципального района Волгоградской области)</w:t>
            </w:r>
          </w:p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ИНН 3407100090 КПП 340701001</w:t>
            </w:r>
          </w:p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ОГРН 1023404976792 </w:t>
            </w:r>
            <w:hyperlink r:id="rId3">
              <w:r>
                <w:rPr>
                  <w:rFonts w:eastAsia="Times New Roman" w:cs="Times New Roman" w:ascii="Times New Roman" w:hAnsi="Times New Roman"/>
                  <w:lang w:eastAsia="ru-RU"/>
                </w:rPr>
                <w:t>ОКТМО</w:t>
              </w:r>
            </w:hyperlink>
            <w:r>
              <w:rPr>
                <w:rFonts w:cs="Times New Roman" w:ascii="Times New Roman" w:hAnsi="Times New Roman"/>
              </w:rPr>
              <w:t xml:space="preserve"> 18612000</w:t>
            </w:r>
          </w:p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ОТДЕЛЕНИЕ ВОЛГОГРАД БАНКА РОССИИ//УФК по Волгоградской области г.Волгоград</w:t>
            </w:r>
          </w:p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БИК 011806101</w:t>
            </w:r>
          </w:p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Казначейский счет 03100643000000012900</w:t>
            </w:r>
          </w:p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Единый казначейский счет 40102810445370000021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л/сч 04293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D05200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ИНН 3407100090   КПП 340701001</w:t>
            </w:r>
          </w:p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hyperlink r:id="rId4">
              <w:r>
                <w:rPr>
                  <w:rFonts w:eastAsia="Times New Roman" w:cs="Times New Roman" w:ascii="Times New Roman" w:hAnsi="Times New Roman"/>
                  <w:lang w:eastAsia="ru-RU"/>
                </w:rPr>
                <w:t>ОКТМО</w:t>
              </w:r>
            </w:hyperlink>
            <w:r>
              <w:rPr>
                <w:rFonts w:cs="Times New Roman" w:ascii="Times New Roman" w:hAnsi="Times New Roman"/>
              </w:rPr>
              <w:t xml:space="preserve"> 18612101</w:t>
            </w:r>
          </w:p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КБК 95620249999130000150</w:t>
            </w:r>
          </w:p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УФК по Волгоградской области (Администрация Жирновского муниципального района Волгоградской области)</w:t>
            </w:r>
          </w:p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</w:tbl>
    <w:p>
      <w:pPr>
        <w:pStyle w:val="ConsPlusNormal"/>
        <w:numPr>
          <w:ilvl w:val="0"/>
          <w:numId w:val="0"/>
        </w:numPr>
        <w:ind w:hanging="0" w:left="0"/>
        <w:outlineLvl w:val="1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numPr>
          <w:ilvl w:val="0"/>
          <w:numId w:val="0"/>
        </w:numPr>
        <w:ind w:hanging="0" w:left="0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  <w:t>I</w:t>
      </w:r>
      <w:r>
        <w:rPr>
          <w:rFonts w:cs="Times New Roman" w:ascii="Times New Roman" w:hAnsi="Times New Roman"/>
          <w:szCs w:val="22"/>
          <w:lang w:val="en-US"/>
        </w:rPr>
        <w:t>X</w:t>
      </w:r>
      <w:r>
        <w:rPr>
          <w:rFonts w:cs="Times New Roman" w:ascii="Times New Roman" w:hAnsi="Times New Roman"/>
          <w:szCs w:val="22"/>
        </w:rPr>
        <w:t>. Подписи Сторон</w:t>
      </w:r>
    </w:p>
    <w:p>
      <w:pPr>
        <w:pStyle w:val="ConsPlusNormal"/>
        <w:numPr>
          <w:ilvl w:val="0"/>
          <w:numId w:val="0"/>
        </w:numPr>
        <w:ind w:hanging="0" w:left="0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tbl>
      <w:tblPr>
        <w:tblW w:w="9423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45"/>
        <w:gridCol w:w="4677"/>
      </w:tblGrid>
      <w:tr>
        <w:trPr>
          <w:trHeight w:val="1224" w:hRule="atLeast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"/>
              <w:widowControl w:val="false"/>
              <w:spacing w:before="0" w:after="0"/>
              <w:ind w:hanging="0"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Первый заместитель главы администрации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Жирновского муниципального района</w:t>
            </w:r>
          </w:p>
          <w:p>
            <w:pPr>
              <w:pStyle w:val="BodyTextIndent"/>
              <w:widowControl w:val="false"/>
              <w:spacing w:before="0" w:after="0"/>
              <w:ind w:hanging="0"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1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hanging="0" w:left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Глава Жирновского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hanging="0" w:left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муниципального района</w:t>
            </w:r>
          </w:p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66" w:hRule="atLeast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_________________/П.Н. Мармура/</w:t>
            </w:r>
          </w:p>
          <w:p>
            <w:pPr>
              <w:pStyle w:val="Normal"/>
              <w:widowControl w:val="false"/>
              <w:spacing w:lineRule="auto" w:line="216" w:before="0" w:after="0"/>
              <w:jc w:val="center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(подпись)                          (ФИО)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_________________/ А.Ф. Шевченко/</w:t>
            </w:r>
          </w:p>
          <w:p>
            <w:pPr>
              <w:pStyle w:val="Normal"/>
              <w:widowControl w:val="false"/>
              <w:spacing w:lineRule="auto" w:line="216" w:before="0" w:after="0"/>
              <w:jc w:val="center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(подпись)                         (ФИО)</w:t>
            </w:r>
          </w:p>
        </w:tc>
      </w:tr>
    </w:tbl>
    <w:p>
      <w:pPr>
        <w:pStyle w:val="ConsPlusNormal"/>
        <w:numPr>
          <w:ilvl w:val="0"/>
          <w:numId w:val="0"/>
        </w:numPr>
        <w:ind w:hanging="0"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hanging="0"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hanging="0"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Приложение 1</w:t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К Соглашению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о предоставлении в 202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 году иных межбюджетных трансфертов бюджету Жирновского городского поселения Жирновского муниципального района Волгоградской области на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ru-RU" w:eastAsia="ru-RU" w:bidi="ar-SA"/>
        </w:rPr>
        <w:t>текущее содержание специальной дорожной техники</w:t>
      </w:r>
    </w:p>
    <w:p>
      <w:pPr>
        <w:pStyle w:val="ConsPlusNormal"/>
        <w:numPr>
          <w:ilvl w:val="0"/>
          <w:numId w:val="0"/>
        </w:numPr>
        <w:ind w:firstLine="540"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целевом использовании иных межбюджетных трансфертов бюджетам поселений на  текущее  содержание специальной дорожной техники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_________________________________________ поселению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1 _______________ 202_ г.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>(в рублях)</w:t>
      </w:r>
    </w:p>
    <w:tbl>
      <w:tblPr>
        <w:tblW w:w="9480" w:type="dxa"/>
        <w:jc w:val="left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2640"/>
        <w:gridCol w:w="2756"/>
        <w:gridCol w:w="838"/>
        <w:gridCol w:w="1086"/>
        <w:gridCol w:w="2160"/>
      </w:tblGrid>
      <w:tr>
        <w:trPr>
          <w:trHeight w:val="600" w:hRule="atLeast"/>
        </w:trPr>
        <w:tc>
          <w:tcPr>
            <w:tcW w:w="2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Получено иных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межбюджетных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трансфертов из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районного бюджета,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3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Направлено средств иных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межбюджетных трансфертов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Остаток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средств</w:t>
            </w:r>
          </w:p>
        </w:tc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Обоснование, подтверждение произведенных расходов</w:t>
            </w:r>
          </w:p>
        </w:tc>
      </w:tr>
      <w:tr>
        <w:trPr>
          <w:trHeight w:val="400" w:hRule="atLeast"/>
        </w:trPr>
        <w:tc>
          <w:tcPr>
            <w:tcW w:w="264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Целевое назначение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расходования средств</w:t>
            </w:r>
          </w:p>
        </w:tc>
        <w:tc>
          <w:tcPr>
            <w:tcW w:w="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</w:t>
            </w:r>
          </w:p>
        </w:tc>
        <w:tc>
          <w:tcPr>
            <w:tcW w:w="108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6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_________________________ поселения ________________________ /Ф.И.О./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____________________ поселения _____________________ /Ф.И.О./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>
      <w:pPr>
        <w:pStyle w:val="Normal"/>
        <w:widowControl w:val="false"/>
        <w:ind w:firstLine="54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ind w:firstLine="540" w:left="0" w:right="0"/>
        <w:jc w:val="both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firstLine="540" w:left="0" w:right="0"/>
        <w:jc w:val="center"/>
        <w:outlineLvl w:val="1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</w:r>
    </w:p>
    <w:sectPr>
      <w:headerReference w:type="default" r:id="rId5"/>
      <w:type w:val="nextPage"/>
      <w:pgSz w:w="11906" w:h="16838"/>
      <w:pgMar w:left="1701" w:right="850" w:gutter="0" w:header="708" w:top="765" w:footer="0" w:bottom="567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211516580"/>
    </w:sdtPr>
    <w:sdtContent>
      <w:p>
        <w:pPr>
          <w:pStyle w:val="Header"/>
          <w:jc w:val="center"/>
          <w:rPr>
            <w:rFonts w:ascii="Times New Roman" w:hAnsi="Times New Roman" w:cs="Times New Roman"/>
          </w:rPr>
        </w:pPr>
        <w:r>
          <w:rPr>
            <w:rFonts w:cs="Times New Roman" w:ascii="Times New Roman" w:hAnsi="Times New Roman"/>
          </w:rPr>
          <w:fldChar w:fldCharType="begin"/>
        </w:r>
        <w:r>
          <w:rPr>
            <w:rFonts w:cs="Times New Roman" w:ascii="Times New Roman" w:hAnsi="Times New Roman"/>
          </w:rPr>
          <w:instrText xml:space="preserve"> PAGE </w:instrText>
        </w:r>
        <w:r>
          <w:rPr>
            <w:rFonts w:cs="Times New Roman" w:ascii="Times New Roman" w:hAnsi="Times New Roman"/>
          </w:rPr>
          <w:fldChar w:fldCharType="separate"/>
        </w:r>
        <w:r>
          <w:rPr>
            <w:rFonts w:cs="Times New Roman" w:ascii="Times New Roman" w:hAnsi="Times New Roman"/>
          </w:rPr>
          <w:t>5</w:t>
        </w:r>
        <w:r>
          <w:rPr>
            <w:rFonts w:cs="Times New Roman" w:ascii="Times New Roman" w:hAnsi="Times New Roman"/>
          </w:rPr>
          <w:fldChar w:fldCharType="end"/>
        </w:r>
      </w:p>
    </w:sdtContent>
  </w:sdt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554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uiPriority w:val="99"/>
    <w:semiHidden/>
    <w:qFormat/>
    <w:rsid w:val="0049554d"/>
    <w:rPr>
      <w:sz w:val="20"/>
      <w:szCs w:val="20"/>
    </w:rPr>
  </w:style>
  <w:style w:type="character" w:styleId="Style15">
    <w:name w:val="Символ сноски"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49554d"/>
    <w:rPr>
      <w:vertAlign w:val="superscript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204b77"/>
    <w:rPr>
      <w:rFonts w:ascii="Segoe UI" w:hAnsi="Segoe UI" w:cs="Segoe UI"/>
      <w:sz w:val="18"/>
      <w:szCs w:val="18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490fe9"/>
    <w:rPr/>
  </w:style>
  <w:style w:type="character" w:styleId="Style18" w:customStyle="1">
    <w:name w:val="Нижний колонтитул Знак"/>
    <w:basedOn w:val="DefaultParagraphFont"/>
    <w:uiPriority w:val="99"/>
    <w:qFormat/>
    <w:rsid w:val="00490fe9"/>
    <w:rPr/>
  </w:style>
  <w:style w:type="character" w:styleId="Hyperlink">
    <w:name w:val="Hyperlink"/>
    <w:basedOn w:val="DefaultParagraphFont"/>
    <w:uiPriority w:val="99"/>
    <w:semiHidden/>
    <w:unhideWhenUsed/>
    <w:rsid w:val="00294aac"/>
    <w:rPr>
      <w:color w:val="0000FF"/>
      <w:u w:val="single"/>
    </w:rPr>
  </w:style>
  <w:style w:type="character" w:styleId="Company-infotext" w:customStyle="1">
    <w:name w:val="company-info__text"/>
    <w:basedOn w:val="DefaultParagraphFont"/>
    <w:qFormat/>
    <w:rsid w:val="00294aac"/>
    <w:rPr/>
  </w:style>
  <w:style w:type="character" w:styleId="Style19" w:customStyle="1">
    <w:name w:val="Основной текст с отступом Знак"/>
    <w:basedOn w:val="DefaultParagraphFont"/>
    <w:uiPriority w:val="99"/>
    <w:qFormat/>
    <w:rsid w:val="009f2295"/>
    <w:rPr>
      <w:rFonts w:ascii="Arial" w:hAnsi="Arial" w:eastAsia="Times New Roman" w:cs="Arial"/>
      <w:sz w:val="18"/>
      <w:szCs w:val="18"/>
      <w:lang w:eastAsia="ru-RU"/>
    </w:rPr>
  </w:style>
  <w:style w:type="paragraph" w:styleId="Style20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onsPlusNormal" w:customStyle="1">
    <w:name w:val="ConsPlusNormal"/>
    <w:uiPriority w:val="99"/>
    <w:qFormat/>
    <w:rsid w:val="0049554d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49554d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FootnoteText">
    <w:name w:val="Footnote Text"/>
    <w:basedOn w:val="Normal"/>
    <w:uiPriority w:val="99"/>
    <w:semiHidden/>
    <w:unhideWhenUsed/>
    <w:rsid w:val="0049554d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204b7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2">
    <w:name w:val="Колонтитул"/>
    <w:basedOn w:val="Normal"/>
    <w:qFormat/>
    <w:pPr/>
    <w:rPr/>
  </w:style>
  <w:style w:type="paragraph" w:styleId="Header">
    <w:name w:val="Header"/>
    <w:basedOn w:val="Normal"/>
    <w:uiPriority w:val="99"/>
    <w:unhideWhenUsed/>
    <w:rsid w:val="00490fe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uiPriority w:val="99"/>
    <w:unhideWhenUsed/>
    <w:rsid w:val="00490fe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820c4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BodyTextIndent">
    <w:name w:val="Body Text Indent"/>
    <w:basedOn w:val="Normal"/>
    <w:uiPriority w:val="99"/>
    <w:rsid w:val="009f2295"/>
    <w:pPr>
      <w:widowControl w:val="false"/>
      <w:spacing w:lineRule="auto" w:line="240" w:before="0" w:after="120"/>
      <w:ind w:hanging="0" w:left="283"/>
    </w:pPr>
    <w:rPr>
      <w:rFonts w:ascii="Arial" w:hAnsi="Arial" w:eastAsia="Times New Roman" w:cs="Arial"/>
      <w:sz w:val="18"/>
      <w:szCs w:val="18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95F38ED0566332C58B1F77DF7B767E605B148D670353165E876280981gDuDK" TargetMode="External"/><Relationship Id="rId3" Type="http://schemas.openxmlformats.org/officeDocument/2006/relationships/hyperlink" Target="consultantplus://offline/ref=9D7F0CB03AAD8E3771A2B4024652A38673E69C5963199B9622CCAC0C4FDB63B22DA5B69BC795823ADA2A3098B2a6Z6R" TargetMode="External"/><Relationship Id="rId4" Type="http://schemas.openxmlformats.org/officeDocument/2006/relationships/hyperlink" Target="consultantplus://offline/ref=9D7F0CB03AAD8E3771A2B4024652A38673E69C5963199B9622CCAC0C4FDB63B22DA5B69BC795823ADA2A3098B2a6Z6R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FB7EB-C495-47BF-914D-1BC8306A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Application>LibreOffice/7.6.4.1$Windows_X86_64 LibreOffice_project/e19e193f88cd6c0525a17fb7a176ed8e6a3e2aa1</Application>
  <AppVersion>15.0000</AppVersion>
  <Pages>5</Pages>
  <Words>1240</Words>
  <Characters>10010</Characters>
  <CharactersWithSpaces>11645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Староватых Анна Викторовна</dc:creator>
  <dc:description/>
  <dc:language>ru-RU</dc:language>
  <cp:lastModifiedBy/>
  <cp:lastPrinted>2024-03-05T11:04:15Z</cp:lastPrinted>
  <dcterms:modified xsi:type="dcterms:W3CDTF">2024-03-05T11:09:10Z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